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N-Q</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QUARTERLY SCHEDULE OF PORTFOLIO HOLDINGS OF REGISTERED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 INVESTMENT COMPANY</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Investment Company Act file number </w:t>
      </w:r>
      <w:r>
        <w:rPr>
          <w:rFonts w:ascii="Times New Roman" w:cs="Times New Roman" w:eastAsia="Times New Roman" w:hAnsi="Times New Roman"/>
          <w:sz w:val="18"/>
          <w:szCs w:val="18"/>
          <w:u w:val="single" w:color="auto"/>
          <w:color w:val="auto"/>
        </w:rPr>
        <w:t>811-22432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700" w:type="dxa"/>
            <w:vAlign w:val="bottom"/>
            <w:gridSpan w:val="7"/>
          </w:tcPr>
          <w:p>
            <w:pPr>
              <w:jc w:val="center"/>
              <w:ind w:right="1890"/>
              <w:spacing w:after="0"/>
              <w:rPr>
                <w:sz w:val="20"/>
                <w:szCs w:val="20"/>
                <w:color w:val="auto"/>
              </w:rPr>
            </w:pPr>
            <w:r>
              <w:rPr>
                <w:rFonts w:ascii="Times New Roman" w:cs="Times New Roman" w:eastAsia="Times New Roman" w:hAnsi="Times New Roman"/>
                <w:sz w:val="18"/>
                <w:szCs w:val="18"/>
                <w:color w:val="auto"/>
                <w:w w:val="99"/>
              </w:rPr>
              <w:t>8 Sound Shore Drive, Suite 255</w:t>
            </w:r>
          </w:p>
        </w:tc>
        <w:tc>
          <w:tcPr>
            <w:tcW w:w="3720" w:type="dxa"/>
            <w:vAlign w:val="bottom"/>
          </w:tcPr>
          <w:p>
            <w:pPr>
              <w:spacing w:after="0"/>
              <w:rPr>
                <w:sz w:val="18"/>
                <w:szCs w:val="18"/>
                <w:color w:val="auto"/>
              </w:rPr>
            </w:pPr>
          </w:p>
        </w:tc>
      </w:tr>
      <w:tr>
        <w:trPr>
          <w:trHeight w:val="234"/>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gridSpan w:val="5"/>
          </w:tcPr>
          <w:p>
            <w:pPr>
              <w:jc w:val="center"/>
              <w:ind w:right="3730"/>
              <w:spacing w:after="0"/>
              <w:rPr>
                <w:sz w:val="20"/>
                <w:szCs w:val="20"/>
                <w:color w:val="auto"/>
              </w:rPr>
            </w:pPr>
            <w:r>
              <w:rPr>
                <w:rFonts w:ascii="Times New Roman" w:cs="Times New Roman" w:eastAsia="Times New Roman" w:hAnsi="Times New Roman"/>
                <w:sz w:val="18"/>
                <w:szCs w:val="18"/>
                <w:color w:val="auto"/>
              </w:rPr>
              <w:t>Greenwich, CT</w:t>
            </w:r>
          </w:p>
        </w:tc>
        <w:tc>
          <w:tcPr>
            <w:tcW w:w="372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06830</w:t>
            </w:r>
          </w:p>
        </w:tc>
      </w:tr>
      <w:tr>
        <w:trPr>
          <w:trHeight w:val="228"/>
        </w:trPr>
        <w:tc>
          <w:tcPr>
            <w:tcW w:w="7700" w:type="dxa"/>
            <w:vAlign w:val="bottom"/>
            <w:gridSpan w:val="7"/>
          </w:tcPr>
          <w:p>
            <w:pPr>
              <w:jc w:val="center"/>
              <w:ind w:right="18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6"/>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Jonathan H. Cohen</w:t>
            </w:r>
          </w:p>
        </w:tc>
        <w:tc>
          <w:tcPr>
            <w:tcW w:w="372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Oxford Lane Capital Corp.</w:t>
            </w:r>
          </w:p>
        </w:tc>
        <w:tc>
          <w:tcPr>
            <w:tcW w:w="37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 Sound Shore Drive, Suite 255</w:t>
            </w:r>
          </w:p>
        </w:tc>
        <w:tc>
          <w:tcPr>
            <w:tcW w:w="3720" w:type="dxa"/>
            <w:vAlign w:val="bottom"/>
          </w:tcPr>
          <w:p>
            <w:pPr>
              <w:spacing w:after="0"/>
              <w:rPr>
                <w:sz w:val="18"/>
                <w:szCs w:val="18"/>
                <w:color w:val="auto"/>
              </w:rPr>
            </w:pPr>
          </w:p>
        </w:tc>
      </w:tr>
      <w:tr>
        <w:trPr>
          <w:trHeight w:val="234"/>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Greenwich, CT 06830</w:t>
            </w:r>
          </w:p>
        </w:tc>
        <w:tc>
          <w:tcPr>
            <w:tcW w:w="3720" w:type="dxa"/>
            <w:vAlign w:val="bottom"/>
            <w:tcBorders>
              <w:bottom w:val="single" w:sz="8" w:color="auto"/>
            </w:tcBorders>
          </w:tcPr>
          <w:p>
            <w:pPr>
              <w:spacing w:after="0"/>
              <w:rPr>
                <w:sz w:val="20"/>
                <w:szCs w:val="20"/>
                <w:color w:val="auto"/>
              </w:rPr>
            </w:pPr>
          </w:p>
        </w:tc>
      </w:tr>
      <w:tr>
        <w:trPr>
          <w:trHeight w:val="228"/>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3720" w:type="dxa"/>
            <w:vAlign w:val="bottom"/>
          </w:tcPr>
          <w:p>
            <w:pPr>
              <w:spacing w:after="0"/>
              <w:rPr>
                <w:sz w:val="19"/>
                <w:szCs w:val="19"/>
                <w:color w:val="auto"/>
              </w:rPr>
            </w:pPr>
          </w:p>
        </w:tc>
      </w:tr>
      <w:tr>
        <w:trPr>
          <w:trHeight w:val="373"/>
        </w:trPr>
        <w:tc>
          <w:tcPr>
            <w:tcW w:w="7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(203) 983-5275</w:t>
            </w:r>
          </w:p>
        </w:tc>
        <w:tc>
          <w:tcPr>
            <w:tcW w:w="3720" w:type="dxa"/>
            <w:vAlign w:val="bottom"/>
          </w:tcPr>
          <w:p>
            <w:pPr>
              <w:spacing w:after="0"/>
              <w:rPr>
                <w:sz w:val="24"/>
                <w:szCs w:val="24"/>
                <w:color w:val="auto"/>
              </w:rPr>
            </w:pPr>
          </w:p>
        </w:tc>
      </w:tr>
      <w:tr>
        <w:trPr>
          <w:trHeight w:val="412"/>
        </w:trPr>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of fiscal year end: March 31</w:t>
            </w:r>
          </w:p>
        </w:tc>
        <w:tc>
          <w:tcPr>
            <w:tcW w:w="11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12"/>
        </w:trPr>
        <w:tc>
          <w:tcPr>
            <w:tcW w:w="7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of reporting period: December 31, 2017</w:t>
            </w:r>
          </w:p>
        </w:tc>
        <w:tc>
          <w:tcPr>
            <w:tcW w:w="3720" w:type="dxa"/>
            <w:vAlign w:val="bottom"/>
          </w:tcPr>
          <w:p>
            <w:pPr>
              <w:spacing w:after="0"/>
              <w:rPr>
                <w:sz w:val="24"/>
                <w:szCs w:val="24"/>
                <w:color w:val="auto"/>
              </w:rPr>
            </w:pPr>
          </w:p>
        </w:tc>
      </w:tr>
      <w:tr>
        <w:trPr>
          <w:trHeight w:val="696"/>
        </w:trPr>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Schedule of Investments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3"/>
                <w:szCs w:val="23"/>
                <w:b w:val="1"/>
                <w:bCs w:val="1"/>
                <w:color w:val="auto"/>
                <w:vertAlign w:val="superscript"/>
              </w:rPr>
              <w:t>(2)</w:t>
            </w:r>
          </w:p>
        </w:tc>
        <w:tc>
          <w:tcPr>
            <w:tcW w:w="11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Net Assets</w:t>
            </w:r>
          </w:p>
        </w:tc>
        <w:tc>
          <w:tcPr>
            <w:tcW w:w="0" w:type="dxa"/>
            <w:vAlign w:val="bottom"/>
          </w:tcPr>
          <w:p>
            <w:pPr>
              <w:spacing w:after="0"/>
              <w:rPr>
                <w:sz w:val="1"/>
                <w:szCs w:val="1"/>
                <w:color w:val="auto"/>
              </w:rPr>
            </w:pPr>
          </w:p>
        </w:tc>
      </w:tr>
      <w:tr>
        <w:trPr>
          <w:trHeight w:val="173"/>
        </w:trPr>
        <w:tc>
          <w:tcPr>
            <w:tcW w:w="60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Collateralized Loan Obligation - Debt Investments</w:t>
            </w:r>
          </w:p>
        </w:tc>
        <w:tc>
          <w:tcPr>
            <w:tcW w:w="280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0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Structured Finance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Jamestown CLO IV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secured notes - Class D</w:t>
            </w:r>
            <w:r>
              <w:rPr>
                <w:rFonts w:ascii="Times New Roman" w:cs="Times New Roman" w:eastAsia="Times New Roman" w:hAnsi="Times New Roman"/>
                <w:sz w:val="21"/>
                <w:szCs w:val="21"/>
                <w:color w:val="auto"/>
                <w:vertAlign w:val="superscript"/>
              </w:rPr>
              <w:t>(3)(4)(6)</w:t>
            </w:r>
            <w:r>
              <w:rPr>
                <w:rFonts w:ascii="Times New Roman" w:cs="Times New Roman" w:eastAsia="Times New Roman" w:hAnsi="Times New Roman"/>
                <w:sz w:val="13"/>
                <w:szCs w:val="13"/>
                <w:color w:val="auto"/>
              </w:rPr>
              <w:t>, 6.30% (LIBOR + 5.00%, due July 15, 2026)</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1,375,000</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1,269,599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1,342,138</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KVK 2014-3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secured notes - Class F</w:t>
            </w:r>
            <w:r>
              <w:rPr>
                <w:rFonts w:ascii="Times New Roman" w:cs="Times New Roman" w:eastAsia="Times New Roman" w:hAnsi="Times New Roman"/>
                <w:sz w:val="21"/>
                <w:szCs w:val="21"/>
                <w:color w:val="auto"/>
                <w:vertAlign w:val="superscript"/>
              </w:rPr>
              <w:t>(3)(4)(6)</w:t>
            </w:r>
            <w:r>
              <w:rPr>
                <w:rFonts w:ascii="Times New Roman" w:cs="Times New Roman" w:eastAsia="Times New Roman" w:hAnsi="Times New Roman"/>
                <w:sz w:val="13"/>
                <w:szCs w:val="13"/>
                <w:color w:val="auto"/>
              </w:rPr>
              <w:t>, 7.40% (LIBOR + 6.10%, due October 15, 2026)</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1,956,522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1,606,979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1,712,348</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21"/>
                <w:szCs w:val="21"/>
                <w:color w:val="auto"/>
                <w:vertAlign w:val="superscript"/>
              </w:rPr>
              <w:t>(3)(4)(6)</w:t>
            </w:r>
            <w:r>
              <w:rPr>
                <w:rFonts w:ascii="Times New Roman" w:cs="Times New Roman" w:eastAsia="Times New Roman" w:hAnsi="Times New Roman"/>
                <w:sz w:val="13"/>
                <w:szCs w:val="13"/>
                <w:color w:val="auto"/>
              </w:rPr>
              <w:t>, 6.11% (LIBOR + 4.80%, due July 20, 2024)</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5,039,194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4,924,200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Tralee CLO IV,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secured notes - Class F</w:t>
            </w:r>
            <w:r>
              <w:rPr>
                <w:rFonts w:ascii="Times New Roman" w:cs="Times New Roman" w:eastAsia="Times New Roman" w:hAnsi="Times New Roman"/>
                <w:sz w:val="21"/>
                <w:szCs w:val="21"/>
                <w:color w:val="auto"/>
                <w:vertAlign w:val="superscript"/>
              </w:rPr>
              <w:t>(3)(4)(6)</w:t>
            </w:r>
            <w:r>
              <w:rPr>
                <w:rFonts w:ascii="Times New Roman" w:cs="Times New Roman" w:eastAsia="Times New Roman" w:hAnsi="Times New Roman"/>
                <w:sz w:val="13"/>
                <w:szCs w:val="13"/>
                <w:color w:val="auto"/>
              </w:rPr>
              <w:t>, 9.44% (LIBOR + 7.50%, due January 20, 2030)</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3,458,000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Structured Finance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11,373,772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11,436,686</w:t>
            </w:r>
          </w:p>
        </w:tc>
        <w:tc>
          <w:tcPr>
            <w:tcW w:w="22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Collateralized Loan Obligation - Debt Investments</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11,373,772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11,436,686</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tcBorders>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8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Structured Finance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AMMC CLO XII,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16.80%, maturity November 10, 2030)</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8,428,571</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4,263,229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4,467,143</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Apidos CLO XXI</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13.76%, maturity July 18, 2027)</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5,974,065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6,438,000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Ares XLIII CLO,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13.82%, maturity October 15, 2029)</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8,694,572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7,769,791</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Ares XXV CLO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(5)(7)(11)</w:t>
            </w:r>
            <w:r>
              <w:rPr>
                <w:rFonts w:ascii="Times New Roman" w:cs="Times New Roman" w:eastAsia="Times New Roman" w:hAnsi="Times New Roman"/>
                <w:sz w:val="13"/>
                <w:szCs w:val="13"/>
                <w:color w:val="auto"/>
              </w:rPr>
              <w:t>, (Estimated yield 0.00%, maturity January 17, 2024)</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Ares XXVI CLO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(5)(7)(12)</w:t>
            </w:r>
            <w:r>
              <w:rPr>
                <w:rFonts w:ascii="Times New Roman" w:cs="Times New Roman" w:eastAsia="Times New Roman" w:hAnsi="Times New Roman"/>
                <w:sz w:val="13"/>
                <w:szCs w:val="13"/>
                <w:color w:val="auto"/>
              </w:rPr>
              <w:t>, (Estimated yield 4.92%, maturity April 15, 2025)</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15,115,000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2,591,194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1,688,930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Ares XL CLO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13.28%, maturity October 15, 2027)</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4,167,607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4,085,382</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Atrium XII CLO</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31.22%, maturity April 22, 2027)</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34,762,500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24,752,418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34,762,500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Battalion CLO VII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3.79%, maturity October 17, 2026)</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16,544,459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Benefit Street Partners CLO V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CLO preference shares </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13.93%, maturity October 20, 2026)</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7,268,338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Blue Hill CLO,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14.78%, maturity January 15, 2026)</w:t>
            </w: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15,125,000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5,195,989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3,751,572</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3"/>
                <w:szCs w:val="13"/>
                <w:color w:val="auto"/>
              </w:rPr>
              <w:t>, (Maturity January 15, 2026)</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96,635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B&amp;M CLO 2014-1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3"/>
                <w:szCs w:val="23"/>
                <w:color w:val="auto"/>
                <w:vertAlign w:val="superscript"/>
              </w:rPr>
              <w:t>(5)(7)</w:t>
            </w:r>
            <w:r>
              <w:rPr>
                <w:rFonts w:ascii="Times New Roman" w:cs="Times New Roman" w:eastAsia="Times New Roman" w:hAnsi="Times New Roman"/>
                <w:sz w:val="14"/>
                <w:szCs w:val="14"/>
                <w:color w:val="auto"/>
              </w:rPr>
              <w:t>, (Estimated yield 5.13%, maturity April 16, 2026)</w:t>
            </w:r>
          </w:p>
        </w:tc>
        <w:tc>
          <w:tcPr>
            <w:tcW w:w="14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903,158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680,000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3"/>
                <w:szCs w:val="23"/>
                <w:b w:val="1"/>
                <w:bCs w:val="1"/>
                <w:color w:val="auto"/>
                <w:vertAlign w:val="superscript"/>
              </w:rPr>
              <w:t>(2)</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of Net Assets</w:t>
            </w:r>
          </w:p>
        </w:tc>
        <w:tc>
          <w:tcPr>
            <w:tcW w:w="0" w:type="dxa"/>
            <w:vAlign w:val="bottom"/>
          </w:tcPr>
          <w:p>
            <w:pPr>
              <w:spacing w:after="0"/>
              <w:rPr>
                <w:sz w:val="1"/>
                <w:szCs w:val="1"/>
                <w:color w:val="auto"/>
              </w:rPr>
            </w:pPr>
          </w:p>
        </w:tc>
      </w:tr>
      <w:tr>
        <w:trPr>
          <w:trHeight w:val="173"/>
        </w:trPr>
        <w:tc>
          <w:tcPr>
            <w:tcW w:w="6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 - (continued)</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Structured Finance - (continued)</w:t>
            </w:r>
          </w:p>
        </w:tc>
        <w:tc>
          <w:tcPr>
            <w:tcW w:w="19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Bristol Park CLO,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12.87%, maturity April 15, 2029)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5,719,663</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Carlyle Global Market Strategies CLO 2013-2,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20.93%, maturity April 18, 2025)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10,663,541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11,995,378</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CENT CLO 16, L.P.</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31.49%, maturity August 01,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6,705,403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CIFC Funding 2014-III,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18.10%, maturity July 22, 2026)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6,370,504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CIFC Funding 2015-I,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19.86%, maturity January 22, 2027)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9,750,000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7,460,399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8,243,625</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Dryden 42 Senior Loan Fund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15.37%, maturity July 15, 2027)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5,918,910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6,118,346</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Edition Funding,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(5)(7)(10)</w:t>
            </w:r>
            <w:r>
              <w:rPr>
                <w:rFonts w:ascii="Times New Roman" w:cs="Times New Roman" w:eastAsia="Times New Roman" w:hAnsi="Times New Roman"/>
                <w:sz w:val="13"/>
                <w:szCs w:val="13"/>
                <w:color w:val="auto"/>
              </w:rPr>
              <w:t>, (Estimated yield 12.40%, maturity October 28, 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Elevation CLO 2017-7,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17.33%, maturity July 15, 2030)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8,531,959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8,531,560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Golub Capital Partners CLO 35(B),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13.96%, maturity July 20, 2029)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4,579,355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Halcyon Loan Advisors Funding 2015-1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29.25%, maturity April 20, 2027)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3,286,237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Hull Street CLO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-5.34%, maturity October 18, 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8,246,012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Ivy Hill Middle Market Credit VII,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17.40%, maturity October 20, 2029)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4,439,672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4,026,606</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Jamestown CLO III,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20.93%, maturity January 15, 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15,575,000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8,097,670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7,164,500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Jamestown CLO IV,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30.74%, maturity July 15, 2026)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3,368,283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3,254,861</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Jamestown CLO V,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40.41%, maturity January 17, 2027)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3,068,447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Apex Credit CLO 2015-II, Ltd. (fka: JFIN CLO 2015-II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23.17%, maturity October 17, 2026)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5,750,000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4,773,297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4,940,441</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Marble Point CLO XI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15.76%, maturity December 18, 2030)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2,773,462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2,718,300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Midocean Credit CLO VI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12.54%, maturity January 20, 2029)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20,601,819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19,760,000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23.05%, maturity July 20,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25,670,000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8,787,482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4,620,600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Mountain Hawk III CLO,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M notes</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3"/>
                <w:szCs w:val="13"/>
                <w:color w:val="auto"/>
              </w:rPr>
              <w:t>, (Maturity April 18, 2025)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2,389,676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73,526</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North End CLO,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-7.59%, maturity July 17, 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1,787,018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983,445</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Octagon Investment Partners 27,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12.54%, maturity July 15, 2027)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3,915,190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3,935,154</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23"/>
                <w:szCs w:val="23"/>
                <w:b w:val="1"/>
                <w:bCs w:val="1"/>
                <w:color w:val="auto"/>
                <w:vertAlign w:val="superscript"/>
              </w:rPr>
              <w:t>(2)</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of Net Assets</w:t>
            </w:r>
          </w:p>
        </w:tc>
        <w:tc>
          <w:tcPr>
            <w:tcW w:w="0" w:type="dxa"/>
            <w:vAlign w:val="bottom"/>
          </w:tcPr>
          <w:p>
            <w:pPr>
              <w:spacing w:after="0"/>
              <w:rPr>
                <w:sz w:val="1"/>
                <w:szCs w:val="1"/>
                <w:color w:val="auto"/>
              </w:rPr>
            </w:pPr>
          </w:p>
        </w:tc>
      </w:tr>
      <w:tr>
        <w:trPr>
          <w:trHeight w:val="173"/>
        </w:trPr>
        <w:tc>
          <w:tcPr>
            <w:tcW w:w="6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 - (continued)</w:t>
            </w:r>
          </w:p>
        </w:tc>
        <w:tc>
          <w:tcPr>
            <w:tcW w:w="19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0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Structured Finance - (continued)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Octagon Investment Partners 33,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14.40%, maturity January 20, 2031)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12,850,000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12,048,619</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11,693,500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OFSI Fund VII,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15.44%, maturity October 18, 2026)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28,840,000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22,007,372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18,457,600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OZLM XII,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15.17%, maturity April 30, 2027)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6,750,000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4,283,407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4,522,500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OZLM XIV,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14.94%, maturity January 15, 2029)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8,090,870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7,986,876</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Regatta III Funding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25.50%, maturity April 15, 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3,750,000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1,641,060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1,411,103</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Shackleton 2015-VII CLO,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16.02%, maturity April 15, 2027)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8,461,815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7,961,097</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Shackelton 2017-X CLO,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12.61%, maturity April 20, 2029)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15,723,364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14,620,000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Shackelton 2017-XI CLO,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16.06%, maturity August 15, 2030)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9,950,457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Sheridan Square CLO,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(5)(7)(13)</w:t>
            </w:r>
            <w:r>
              <w:rPr>
                <w:rFonts w:ascii="Times New Roman" w:cs="Times New Roman" w:eastAsia="Times New Roman" w:hAnsi="Times New Roman"/>
                <w:sz w:val="13"/>
                <w:szCs w:val="13"/>
                <w:color w:val="auto"/>
              </w:rPr>
              <w:t>, (Estimated yield 0.00%, maturity April 15, 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171,240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Sound Point CLO VIII,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3"/>
                <w:szCs w:val="13"/>
                <w:color w:val="auto"/>
              </w:rPr>
              <w:t>, (Maturity April 15, 2027)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224,719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202,247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62,004</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Telos CLO 2013-3,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19.69%, maturity July 17, 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14,332,210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9,102,580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8,026,038</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Telos CLO 2013-4,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31.42%, maturity January 17, 2030)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11,350,000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7,296,068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Telos CLO 2014-6, Ltd.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3"/>
                <w:szCs w:val="23"/>
                <w:color w:val="auto"/>
                <w:vertAlign w:val="superscript"/>
              </w:rPr>
              <w:t>(5)(7)</w:t>
            </w:r>
            <w:r>
              <w:rPr>
                <w:rFonts w:ascii="Times New Roman" w:cs="Times New Roman" w:eastAsia="Times New Roman" w:hAnsi="Times New Roman"/>
                <w:sz w:val="14"/>
                <w:szCs w:val="14"/>
                <w:color w:val="auto"/>
              </w:rPr>
              <w:t>, (Estimated yield 25.89%, maturity January 17, 2027)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4,003,544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4,002,983</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FAIR VALUE</w:t>
            </w:r>
            <w:r>
              <w:rPr>
                <w:rFonts w:ascii="Times New Roman" w:cs="Times New Roman" w:eastAsia="Times New Roman" w:hAnsi="Times New Roman"/>
                <w:sz w:val="23"/>
                <w:szCs w:val="23"/>
                <w:b w:val="1"/>
                <w:bCs w:val="1"/>
                <w:color w:val="auto"/>
                <w:w w:val="95"/>
                <w:vertAlign w:val="superscript"/>
              </w:rPr>
              <w:t>(2)</w:t>
            </w:r>
          </w:p>
        </w:tc>
        <w:tc>
          <w:tcPr>
            <w:tcW w:w="11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of Net Assets</w:t>
            </w:r>
          </w:p>
        </w:tc>
        <w:tc>
          <w:tcPr>
            <w:tcW w:w="0" w:type="dxa"/>
            <w:vAlign w:val="bottom"/>
          </w:tcPr>
          <w:p>
            <w:pPr>
              <w:spacing w:after="0"/>
              <w:rPr>
                <w:sz w:val="1"/>
                <w:szCs w:val="1"/>
                <w:color w:val="auto"/>
              </w:rPr>
            </w:pPr>
          </w:p>
        </w:tc>
      </w:tr>
      <w:tr>
        <w:trPr>
          <w:trHeight w:val="173"/>
        </w:trPr>
        <w:tc>
          <w:tcPr>
            <w:tcW w:w="60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Borders>
              <w:top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 - (continued)</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4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Structured Finance - (continued)</w:t>
            </w:r>
          </w:p>
        </w:tc>
        <w:tc>
          <w:tcPr>
            <w:tcW w:w="1940" w:type="dxa"/>
            <w:vAlign w:val="bottom"/>
            <w:tcBorders>
              <w:top w:val="single" w:sz="8" w:color="CCEEFF"/>
            </w:tcBorders>
            <w:gridSpan w:val="2"/>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THL Credit Wind River 2014-3 CLO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18.01%, maturity January 22, 2027)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18,530,000</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14,573,267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14,824,000</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THL Credit Wind River 2017-1 CLO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14.06%, maturity April 18, 2029)</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12,000,000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10,456,876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9,840,000</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Tralee CLO IV,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21.37%, maturity January 20, 2030)</w:t>
            </w: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13,270,000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11,358,831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11,286,135</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Venture XIV CLO,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19.58%, maturity August 28, 2025)</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6,421,544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5,940,000</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Venture XVII CLO,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19.43%, maturity July 15, 2026)</w:t>
            </w: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11,566,608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10,746,464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Venture XXI CLO,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20.32%, maturity July 15, 2027)</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20,950,000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15,302,576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16,131,500</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Venture XXX CLO, Ltd.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16.11%, maturity January 15, 2031)</w:t>
            </w: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13,591,931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13,946,000</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Wellfleet 2016-2 CLO, Ltd.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3"/>
                <w:szCs w:val="13"/>
                <w:color w:val="auto"/>
              </w:rPr>
              <w:t>, (Estimated yield 16.56%, maturity October 15, 2028)</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8,336,182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Zais CLO 7, Limited</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1"/>
                <w:szCs w:val="21"/>
                <w:color w:val="auto"/>
                <w:vertAlign w:val="superscript"/>
              </w:rPr>
              <w:t>(5)(7)(9)</w:t>
            </w:r>
            <w:r>
              <w:rPr>
                <w:rFonts w:ascii="Times New Roman" w:cs="Times New Roman" w:eastAsia="Times New Roman" w:hAnsi="Times New Roman"/>
                <w:sz w:val="13"/>
                <w:szCs w:val="13"/>
                <w:color w:val="auto"/>
              </w:rPr>
              <w:t>, (Estimated yield 19.76%, maturity April 15, 2030)</w:t>
            </w: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9,425,000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8,189,113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8,576,750</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CLO equity related investments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CLO other</w:t>
            </w:r>
            <w:r>
              <w:rPr>
                <w:rFonts w:ascii="Times New Roman" w:cs="Times New Roman" w:eastAsia="Times New Roman" w:hAnsi="Times New Roman"/>
                <w:sz w:val="23"/>
                <w:szCs w:val="23"/>
                <w:color w:val="auto"/>
                <w:vertAlign w:val="superscript"/>
              </w:rPr>
              <w:t>(8)</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2,109,901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Structured Finance</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437,246,854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421,134,267</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156.2</w:t>
            </w:r>
          </w:p>
        </w:tc>
        <w:tc>
          <w:tcPr>
            <w:tcW w:w="1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Collateralized Loan Obligation - Equity Investments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437,246,854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421,134,267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156.2</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448,620,626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432,570,953</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2"/>
                <w:szCs w:val="12"/>
                <w:b w:val="1"/>
                <w:bCs w:val="1"/>
                <w:color w:val="auto"/>
              </w:rPr>
              <w:t>160.4</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8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4300" w:type="dxa"/>
            <w:vAlign w:val="bottom"/>
            <w:tcBorders>
              <w:bottom w:val="single" w:sz="8" w:color="CCEEFF"/>
            </w:tcBorders>
            <w:gridSpan w:val="3"/>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gridSpan w:val="4"/>
          </w:tcPr>
          <w:p>
            <w:pPr>
              <w:spacing w:after="0" w:line="183" w:lineRule="exact"/>
              <w:rPr>
                <w:sz w:val="20"/>
                <w:szCs w:val="20"/>
                <w:color w:val="auto"/>
              </w:rPr>
            </w:pPr>
            <w:r>
              <w:rPr>
                <w:rFonts w:ascii="Times New Roman" w:cs="Times New Roman" w:eastAsia="Times New Roman" w:hAnsi="Times New Roman"/>
                <w:sz w:val="13"/>
                <w:szCs w:val="13"/>
                <w:color w:val="auto"/>
              </w:rPr>
              <w:t>First American Government Obligations Fund</w:t>
            </w:r>
            <w:r>
              <w:rPr>
                <w:rFonts w:ascii="Times New Roman" w:cs="Times New Roman" w:eastAsia="Times New Roman" w:hAnsi="Times New Roman"/>
                <w:sz w:val="21"/>
                <w:szCs w:val="21"/>
                <w:color w:val="auto"/>
                <w:vertAlign w:val="superscript"/>
              </w:rPr>
              <w:t>(14)</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3,419,866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3,419,866</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gridSpan w:val="4"/>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Total Cash and Cash Equivalents</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3,419,866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3,419,866</w:t>
            </w: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w:t>
            </w:r>
          </w:p>
        </w:tc>
        <w:tc>
          <w:tcPr>
            <w:tcW w:w="1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Investments, Cash and Cash Equivalents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452,040,492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435,990,819</w:t>
            </w:r>
          </w:p>
        </w:tc>
        <w:tc>
          <w:tcPr>
            <w:tcW w:w="220" w:type="dxa"/>
            <w:vAlign w:val="bottom"/>
          </w:tcPr>
          <w:p>
            <w:pPr>
              <w:spacing w:after="0"/>
              <w:rPr>
                <w:sz w:val="18"/>
                <w:szCs w:val="18"/>
                <w:color w:val="auto"/>
              </w:rPr>
            </w:pP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2"/>
                <w:szCs w:val="12"/>
                <w:b w:val="1"/>
                <w:bCs w:val="1"/>
                <w:color w:val="auto"/>
              </w:rPr>
              <w:t>161.7</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8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LIABILITIES IN EXCESS OF OTHER ASSETS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(166,347,049)</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Borders>
              <w:top w:val="single" w:sz="8" w:color="CCEEFF"/>
              <w:bottom w:val="single" w:sz="8" w:color="CCEEFF"/>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ASSETS (equivalent to $10.02 per share based on 26,909,556 shares of common stock outstanding)</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269,643,770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340" w:right="260" w:hanging="332"/>
        <w:spacing w:after="0" w:line="25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“control” and are not an “affiliate” of any of our portfolio companies, each as defined in the Investment Company Act of 1940, as amended (the “1940 Act”). In general, under the 1940 Act, we would be presumed to “control” a portfolio company if we owned 25% or more of its voting securities and would be an “affiliate” of a portfolio company if we owned 5% or more of its voting securities.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in good faith by the Board of Directors of the Fund.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bear interest at variable rates.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value reflects accretion of original issue discount or market discount.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value reflects accretion of effective yield less any cash distributions received or entitled to be received from CLO equity investments.</w:t>
      </w:r>
    </w:p>
    <w:p>
      <w:pPr>
        <w:spacing w:after="0" w:line="9" w:lineRule="exact"/>
        <w:rPr>
          <w:rFonts w:ascii="Times New Roman" w:cs="Times New Roman" w:eastAsia="Times New Roman" w:hAnsi="Times New Roman"/>
          <w:sz w:val="18"/>
          <w:szCs w:val="18"/>
          <w:color w:val="auto"/>
        </w:rPr>
      </w:pPr>
    </w:p>
    <w:p>
      <w:pPr>
        <w:ind w:left="340" w:right="5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secured notes generally bear interest at a rate determined by reference to three-month LIBOR which resets quarterly. For each CLO debt investment, the rate provided is as of December 31, 2017.</w:t>
      </w:r>
    </w:p>
    <w:p>
      <w:pPr>
        <w:ind w:left="340" w:right="2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represents discounted cash flows associated with fees earned from CLO equity investments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has not made inaugural distribution for relevant period end. See "Note 4. Investment Income."</w:t>
      </w:r>
    </w:p>
    <w:p>
      <w:pPr>
        <w:spacing w:after="0" w:line="9" w:lineRule="exact"/>
        <w:rPr>
          <w:rFonts w:ascii="Times New Roman" w:cs="Times New Roman" w:eastAsia="Times New Roman" w:hAnsi="Times New Roman"/>
          <w:sz w:val="18"/>
          <w:szCs w:val="18"/>
          <w:color w:val="auto"/>
        </w:rPr>
      </w:pPr>
    </w:p>
    <w:p>
      <w:pPr>
        <w:ind w:left="340" w:right="2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shares represent an investment in a warehouse facility, which is a financing structure intended to aggregate loans that may be used to form the basis of a CLO vehicle.</w:t>
      </w:r>
    </w:p>
    <w:p>
      <w:pPr>
        <w:ind w:left="340" w:right="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was optionally redeemed during the quarter ended June 30, 2017. The cost basis reflects distributions received in excess of investment carrying value.</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was optionally redeemed during the quarter ended December 31, 2017.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was optionally redeemed during the quarter ended June 30, 2017.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equivalents held in a money market account as of December 31, 2017.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914"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UNAUDITED INTERIM FINANCIAL INFORMATION</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Interim financial information of Oxford Lane Capital Corp. (“OXLC,” “we,” “us,” “our,” or the “Fund”) are prepared in accordance with generally accepted accounting principles in the United States of America (“GAAP”) for interim financial information and pursuant to the requirements for reporting on Form N-Q. Accordingly, certain disclosures accompanying annual and semi-annual financial statements prepared in accordance with GAAP are omitted. In the opinion of management, all adjustments, consisting of normal recurring accruals, necessary for the fair statement of financial results for the interim periods have been omitted. The current period’s results of operations are not necessarily indicative of results that may be achieved for the full year. The interim financial information and notes thereto should be read in conjunction with the financial statements and notes thereto included in the Fund’s Form N-CSR for the six months ended September 30, 2017, as filed with the Securities and Exchange Commission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INVESTMENT VALUATION</w:t>
      </w:r>
    </w:p>
    <w:p>
      <w:pPr>
        <w:spacing w:after="0" w:line="22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Fund fair values its investment portfolio in accordance with the provisions of ASC 820,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 Estimates made in the preparation of OXLC’s financial information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all of OXLC’s investments are valued based upon “Level 3” inputs as of December 31,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Collateralized Loan Obligations — Debt and Equity</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OXLC has acquired debt and equity positions in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LLC (“OXLC Management”) or the Fund’s board of directors (the “Board of Directors”) may request an additional analysis by a third-party firm to assist in the valuation process of CLO investment vehicles. All information is presented to the Board of Directors for its determination of fair value of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FAIR VALUE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Fund’s assets measured at fair value on a recurring basis subject to the disclosure requirements of ASC 820-10 at December 31, 2017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 Observable</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8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 ($ in millions)</w:t>
            </w: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 equity</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421.2</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 and fair value of the Fund’s financial liabilities disclosed, but not carried,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and the level of each financial liability within the fair value hierarchy: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9"/>
                <w:szCs w:val="19"/>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2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80" w:type="dxa"/>
            <w:vAlign w:val="bottom"/>
          </w:tcPr>
          <w:p>
            <w:pPr>
              <w:spacing w:after="0"/>
              <w:rPr>
                <w:sz w:val="20"/>
                <w:szCs w:val="20"/>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6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7.50% Series 2023 Term Preferred Shares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6.75% Series 2024 Term Preferred Shares</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Unobservable Inputs for Level 3 Investments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ASC 820-10, the following table provides quantitative information about the Fund’s Level 3 fair value measurements as of December 31, 2017.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techniques and methodologies and asset category.</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98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 equity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 equity - side letters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Fair Value for Level 3 Investments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489"/>
        <w:spacing w:after="0"/>
        <w:rPr>
          <w:sz w:val="20"/>
          <w:szCs w:val="20"/>
          <w:color w:val="auto"/>
        </w:rPr>
      </w:pPr>
      <w:r>
        <w:rPr>
          <w:rFonts w:ascii="Times New Roman" w:cs="Times New Roman" w:eastAsia="Times New Roman" w:hAnsi="Times New Roman"/>
          <w:sz w:val="18"/>
          <w:szCs w:val="18"/>
          <w:b w:val="1"/>
          <w:bCs w:val="1"/>
          <w:color w:val="auto"/>
        </w:rPr>
        <w:t>Quantitative Information about Level 3 Fair Value Measurements</w:t>
      </w:r>
    </w:p>
    <w:p>
      <w:pPr>
        <w:spacing w:after="0" w:line="31" w:lineRule="exact"/>
        <w:rPr>
          <w:sz w:val="20"/>
          <w:szCs w:val="20"/>
          <w:color w:val="auto"/>
        </w:rPr>
      </w:pPr>
    </w:p>
    <w:tbl>
      <w:tblPr>
        <w:tblLayout w:type="fixed"/>
        <w:tblInd w:w="9" w:type="dxa"/>
        <w:tblCellMar>
          <w:top w:w="0" w:type="dxa"/>
          <w:left w:w="0" w:type="dxa"/>
          <w:bottom w:w="0" w:type="dxa"/>
          <w:right w:w="0" w:type="dxa"/>
        </w:tblCellMar>
      </w:tblPr>
      <w:tr>
        <w:trPr>
          <w:trHeight w:val="196"/>
        </w:trPr>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2020" w:type="dxa"/>
            <w:vAlign w:val="bottom"/>
            <w:tcBorders>
              <w:top w:val="single" w:sz="8" w:color="auto"/>
            </w:tcBorders>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Valuation Techniques /</w:t>
            </w:r>
          </w:p>
        </w:tc>
        <w:tc>
          <w:tcPr>
            <w:tcW w:w="18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right"/>
              <w:ind w:right="430"/>
              <w:spacing w:after="0" w:line="196" w:lineRule="exact"/>
              <w:rPr>
                <w:sz w:val="20"/>
                <w:szCs w:val="20"/>
                <w:color w:val="auto"/>
              </w:rPr>
            </w:pPr>
            <w:r>
              <w:rPr>
                <w:rFonts w:ascii="Times New Roman" w:cs="Times New Roman" w:eastAsia="Times New Roman" w:hAnsi="Times New Roman"/>
                <w:sz w:val="18"/>
                <w:szCs w:val="18"/>
                <w:b w:val="1"/>
                <w:bCs w:val="1"/>
                <w:color w:val="auto"/>
              </w:rPr>
              <w:t>Range / Weighted</w:t>
            </w:r>
          </w:p>
        </w:tc>
        <w:tc>
          <w:tcPr>
            <w:tcW w:w="0" w:type="dxa"/>
            <w:vAlign w:val="bottom"/>
          </w:tcPr>
          <w:p>
            <w:pPr>
              <w:spacing w:after="0"/>
              <w:rPr>
                <w:sz w:val="1"/>
                <w:szCs w:val="1"/>
                <w:color w:val="auto"/>
              </w:rPr>
            </w:pPr>
          </w:p>
        </w:tc>
      </w:tr>
      <w:tr>
        <w:trPr>
          <w:trHeight w:val="270"/>
        </w:trPr>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2017</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Methodologies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220" w:type="dxa"/>
            <w:vAlign w:val="bottom"/>
          </w:tcPr>
          <w:p>
            <w:pPr>
              <w:spacing w:after="0"/>
              <w:rPr>
                <w:sz w:val="23"/>
                <w:szCs w:val="23"/>
                <w:color w:val="auto"/>
              </w:rPr>
            </w:pPr>
          </w:p>
        </w:tc>
        <w:tc>
          <w:tcPr>
            <w:tcW w:w="2340" w:type="dxa"/>
            <w:vAlign w:val="bottom"/>
          </w:tcPr>
          <w:p>
            <w:pPr>
              <w:jc w:val="right"/>
              <w:ind w:right="690"/>
              <w:spacing w:after="0" w:line="269"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30"/>
                <w:szCs w:val="30"/>
                <w:b w:val="1"/>
                <w:bCs w:val="1"/>
                <w:color w:val="auto"/>
                <w:vertAlign w:val="superscript"/>
              </w:rPr>
              <w:t>(4)</w:t>
            </w:r>
          </w:p>
        </w:tc>
        <w:tc>
          <w:tcPr>
            <w:tcW w:w="0" w:type="dxa"/>
            <w:vAlign w:val="bottom"/>
          </w:tcPr>
          <w:p>
            <w:pPr>
              <w:spacing w:after="0"/>
              <w:rPr>
                <w:sz w:val="1"/>
                <w:szCs w:val="1"/>
                <w:color w:val="auto"/>
              </w:rPr>
            </w:pPr>
          </w:p>
        </w:tc>
      </w:tr>
      <w:tr>
        <w:trPr>
          <w:trHeight w:val="228"/>
        </w:trPr>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0"/>
              </w:rPr>
              <w:t>NBIB</w:t>
            </w:r>
            <w:r>
              <w:rPr>
                <w:rFonts w:ascii="Times New Roman" w:cs="Times New Roman" w:eastAsia="Times New Roman" w:hAnsi="Times New Roman"/>
                <w:sz w:val="30"/>
                <w:szCs w:val="30"/>
                <w:color w:val="auto"/>
                <w:w w:val="90"/>
                <w:vertAlign w:val="superscript"/>
              </w:rPr>
              <w:t>(1)</w:t>
            </w:r>
          </w:p>
        </w:tc>
        <w:tc>
          <w:tcPr>
            <w:tcW w:w="220" w:type="dxa"/>
            <w:vAlign w:val="bottom"/>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4"/>
                <w:szCs w:val="24"/>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Market quotes</w:t>
            </w:r>
          </w:p>
        </w:tc>
        <w:tc>
          <w:tcPr>
            <w:tcW w:w="1800" w:type="dxa"/>
            <w:vAlign w:val="bottom"/>
            <w:vMerge w:val="continue"/>
          </w:tcPr>
          <w:p>
            <w:pPr>
              <w:spacing w:after="0"/>
              <w:rPr>
                <w:sz w:val="24"/>
                <w:szCs w:val="24"/>
                <w:color w:val="auto"/>
              </w:rPr>
            </w:pPr>
          </w:p>
        </w:tc>
        <w:tc>
          <w:tcPr>
            <w:tcW w:w="25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82.1%-97.6% / 87.1%</w:t>
            </w:r>
          </w:p>
        </w:tc>
        <w:tc>
          <w:tcPr>
            <w:tcW w:w="0" w:type="dxa"/>
            <w:vAlign w:val="bottom"/>
          </w:tcPr>
          <w:p>
            <w:pPr>
              <w:spacing w:after="0"/>
              <w:rPr>
                <w:sz w:val="1"/>
                <w:szCs w:val="1"/>
                <w:color w:val="auto"/>
              </w:rPr>
            </w:pPr>
          </w:p>
        </w:tc>
      </w:tr>
      <w:tr>
        <w:trPr>
          <w:trHeight w:val="335"/>
        </w:trPr>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20" w:type="dxa"/>
            <w:vAlign w:val="bottom"/>
          </w:tcPr>
          <w:p>
            <w:pPr>
              <w:spacing w:after="0"/>
              <w:rPr>
                <w:sz w:val="24"/>
                <w:szCs w:val="24"/>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Market quotes</w:t>
            </w:r>
          </w:p>
        </w:tc>
        <w:tc>
          <w:tcPr>
            <w:tcW w:w="1800" w:type="dxa"/>
            <w:vAlign w:val="bottom"/>
          </w:tcPr>
          <w:p>
            <w:pPr>
              <w:jc w:val="center"/>
              <w:spacing w:after="0" w:line="335" w:lineRule="exact"/>
              <w:rPr>
                <w:sz w:val="20"/>
                <w:szCs w:val="20"/>
                <w:color w:val="auto"/>
              </w:rPr>
            </w:pPr>
            <w:r>
              <w:rPr>
                <w:rFonts w:ascii="Times New Roman" w:cs="Times New Roman" w:eastAsia="Times New Roman" w:hAnsi="Times New Roman"/>
                <w:sz w:val="18"/>
                <w:szCs w:val="18"/>
                <w:color w:val="auto"/>
                <w:w w:val="90"/>
              </w:rPr>
              <w:t>NBIB</w:t>
            </w:r>
            <w:r>
              <w:rPr>
                <w:rFonts w:ascii="Times New Roman" w:cs="Times New Roman" w:eastAsia="Times New Roman" w:hAnsi="Times New Roman"/>
                <w:sz w:val="30"/>
                <w:szCs w:val="30"/>
                <w:color w:val="auto"/>
                <w:w w:val="90"/>
                <w:vertAlign w:val="superscript"/>
              </w:rPr>
              <w:t>(1)</w:t>
            </w:r>
          </w:p>
        </w:tc>
        <w:tc>
          <w:tcPr>
            <w:tcW w:w="25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1.5%-100.0% / 63.4%</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Recent Transactions</w:t>
            </w:r>
          </w:p>
        </w:tc>
        <w:tc>
          <w:tcPr>
            <w:tcW w:w="18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Actual trade</w:t>
            </w:r>
            <w:r>
              <w:rPr>
                <w:rFonts w:ascii="Times New Roman" w:cs="Times New Roman" w:eastAsia="Times New Roman" w:hAnsi="Times New Roman"/>
                <w:sz w:val="29"/>
                <w:szCs w:val="29"/>
                <w:color w:val="auto"/>
                <w:w w:val="95"/>
                <w:vertAlign w:val="superscript"/>
              </w:rPr>
              <w:t>(2)</w:t>
            </w:r>
          </w:p>
        </w:tc>
        <w:tc>
          <w:tcPr>
            <w:tcW w:w="25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84.6%-91.8% / 88.9%</w:t>
            </w:r>
          </w:p>
        </w:tc>
        <w:tc>
          <w:tcPr>
            <w:tcW w:w="0" w:type="dxa"/>
            <w:vAlign w:val="bottom"/>
          </w:tcPr>
          <w:p>
            <w:pPr>
              <w:spacing w:after="0"/>
              <w:rPr>
                <w:sz w:val="1"/>
                <w:szCs w:val="1"/>
                <w:color w:val="auto"/>
              </w:rPr>
            </w:pPr>
          </w:p>
        </w:tc>
      </w:tr>
      <w:tr>
        <w:trPr>
          <w:trHeight w:val="394"/>
        </w:trPr>
        <w:tc>
          <w:tcPr>
            <w:tcW w:w="10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Yield Analysis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NBIB</w:t>
            </w:r>
            <w:r>
              <w:rPr>
                <w:rFonts w:ascii="Times New Roman" w:cs="Times New Roman" w:eastAsia="Times New Roman" w:hAnsi="Times New Roman"/>
                <w:sz w:val="30"/>
                <w:szCs w:val="30"/>
                <w:color w:val="auto"/>
                <w:w w:val="90"/>
                <w:vertAlign w:val="superscript"/>
              </w:rPr>
              <w:t>(1)</w:t>
            </w:r>
          </w:p>
        </w:tc>
        <w:tc>
          <w:tcPr>
            <w:tcW w:w="25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74.0%-85.3% / 80.1%</w:t>
            </w:r>
          </w:p>
        </w:tc>
        <w:tc>
          <w:tcPr>
            <w:tcW w:w="0" w:type="dxa"/>
            <w:vAlign w:val="bottom"/>
          </w:tcPr>
          <w:p>
            <w:pPr>
              <w:spacing w:after="0"/>
              <w:rPr>
                <w:sz w:val="1"/>
                <w:szCs w:val="1"/>
                <w:color w:val="auto"/>
              </w:rPr>
            </w:pPr>
          </w:p>
        </w:tc>
      </w:tr>
      <w:tr>
        <w:trPr>
          <w:trHeight w:val="363"/>
        </w:trPr>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Discounted cash flow</w:t>
            </w:r>
            <w:r>
              <w:rPr>
                <w:rFonts w:ascii="Times New Roman" w:cs="Times New Roman" w:eastAsia="Times New Roman" w:hAnsi="Times New Roman"/>
                <w:sz w:val="30"/>
                <w:szCs w:val="30"/>
                <w:color w:val="auto"/>
                <w:w w:val="97"/>
                <w:vertAlign w:val="superscript"/>
              </w:rPr>
              <w:t>(3)</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Discount rate</w:t>
            </w:r>
            <w:r>
              <w:rPr>
                <w:rFonts w:ascii="Times New Roman" w:cs="Times New Roman" w:eastAsia="Times New Roman" w:hAnsi="Times New Roman"/>
                <w:sz w:val="30"/>
                <w:szCs w:val="30"/>
                <w:color w:val="auto"/>
                <w:w w:val="95"/>
                <w:vertAlign w:val="superscript"/>
              </w:rPr>
              <w:t>(3)</w:t>
            </w:r>
          </w:p>
        </w:tc>
        <w:tc>
          <w:tcPr>
            <w:tcW w:w="25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10.9%-16.5% / 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-1105535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-805180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-479425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-179705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137160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5" w:lineRule="exact"/>
        <w:rPr>
          <w:sz w:val="20"/>
          <w:szCs w:val="20"/>
          <w:color w:val="auto"/>
        </w:rPr>
      </w:pPr>
    </w:p>
    <w:p>
      <w:pPr>
        <w:ind w:left="1049" w:hanging="1049"/>
        <w:spacing w:after="0"/>
        <w:tabs>
          <w:tab w:leader="none" w:pos="10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26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471805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920" w:space="451"/>
            <w:col w:w="8049"/>
          </w:cols>
          <w:pgMar w:left="240" w:top="904"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FAIR VALUE – (continued)</w:t>
      </w:r>
    </w:p>
    <w:p>
      <w:pPr>
        <w:spacing w:after="0" w:line="225" w:lineRule="exact"/>
        <w:rPr>
          <w:sz w:val="20"/>
          <w:szCs w:val="20"/>
          <w:color w:val="auto"/>
        </w:rPr>
      </w:pPr>
    </w:p>
    <w:p>
      <w:pPr>
        <w:ind w:left="580" w:right="80" w:hanging="275"/>
        <w:spacing w:after="0" w:line="254"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generally uses non-binding indicative bid (“NBIB”) prices provided by an independent pricing service or broker on or near the valuation date as the primary basis for the fair value determinations for CLO debt and equity investments, which may be adjusted for pending equity distributions as of the valuation date. These bid prices are non-binding, and may not be determinative of fair value. Each bid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Times New Roman" w:cs="Times New Roman" w:eastAsia="Times New Roman" w:hAnsi="Times New Roman"/>
          <w:sz w:val="18"/>
          <w:szCs w:val="18"/>
          <w:color w:val="auto"/>
        </w:rPr>
      </w:pPr>
    </w:p>
    <w:p>
      <w:pPr>
        <w:ind w:left="580" w:right="180" w:hanging="275"/>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provided by independent pricing services are evaluated in conjunction with actual trades, and in certain cases, the value represented by actual trades may be more representative of fair value as determined by the Board of Directors.</w:t>
      </w:r>
    </w:p>
    <w:p>
      <w:pPr>
        <w:jc w:val="both"/>
        <w:ind w:left="580" w:right="140" w:hanging="275"/>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calculate the fair value of certain CLO equity investments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spacing w:after="0" w:line="1" w:lineRule="exact"/>
        <w:rPr>
          <w:rFonts w:ascii="Times New Roman" w:cs="Times New Roman" w:eastAsia="Times New Roman" w:hAnsi="Times New Roman"/>
          <w:sz w:val="18"/>
          <w:szCs w:val="18"/>
          <w:color w:val="auto"/>
        </w:rPr>
      </w:pPr>
    </w:p>
    <w:p>
      <w:pPr>
        <w:ind w:left="580" w:hanging="27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averages are calculated based on fair value of investments.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Significant increases or decreases in any of the unobservable inputs in isolation may result in a significantly lower or higher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INVESTMENT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securitization vehicles and equity investments</w:t>
      </w:r>
    </w:p>
    <w:p>
      <w:pPr>
        <w:spacing w:after="0" w:line="227" w:lineRule="exact"/>
        <w:rPr>
          <w:sz w:val="20"/>
          <w:szCs w:val="20"/>
          <w:color w:val="auto"/>
        </w:rPr>
      </w:pPr>
    </w:p>
    <w:p>
      <w:pPr>
        <w:jc w:val="both"/>
        <w:ind w:firstLine="584"/>
        <w:spacing w:after="0" w:line="255" w:lineRule="auto"/>
        <w:rPr>
          <w:sz w:val="20"/>
          <w:szCs w:val="20"/>
          <w:color w:val="auto"/>
        </w:rPr>
      </w:pPr>
      <w:r>
        <w:rPr>
          <w:rFonts w:ascii="Times New Roman" w:cs="Times New Roman" w:eastAsia="Times New Roman" w:hAnsi="Times New Roman"/>
          <w:sz w:val="18"/>
          <w:szCs w:val="18"/>
          <w:color w:val="auto"/>
        </w:rPr>
        <w:t xml:space="preserve">Income from securitization vehicles and equity investments in the equity class securities of CLO vehicles (typically income notes or subordinated notes) is recorded using the effective interest method in accordance with the provisions of ASC 325-40, </w:t>
      </w:r>
      <w:r>
        <w:rPr>
          <w:rFonts w:ascii="Times New Roman" w:cs="Times New Roman" w:eastAsia="Times New Roman" w:hAnsi="Times New Roman"/>
          <w:sz w:val="18"/>
          <w:szCs w:val="18"/>
          <w:i w:val="1"/>
          <w:iCs w:val="1"/>
          <w:color w:val="auto"/>
        </w:rPr>
        <w:t>Beneficial Interests in Securitized Financial Assets</w:t>
      </w:r>
      <w:r>
        <w:rPr>
          <w:rFonts w:ascii="Times New Roman" w:cs="Times New Roman" w:eastAsia="Times New Roman" w:hAnsi="Times New Roman"/>
          <w:sz w:val="18"/>
          <w:szCs w:val="18"/>
          <w:color w:val="auto"/>
        </w:rPr>
        <w:t>, based upon a calculation of the effective yield to the expected redemption date based on an estimate of future cash flows, including those CLO equity investments that have not made their inaugural distribution for the relevant period end. The Fund monitors the expected residual payments, and the effective yield is determined and updated quarterly, as needed. Accordingly, investment income recognized on CLO equity securities in the statement of operations presented in accordance with GAAP differs from both the tax-basis investment income and from the cash distributions actually received by the Fund during the period.</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Fund also records income on its investments in certain securitization vehicles (or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 Debt Investments</w:t>
      </w:r>
    </w:p>
    <w:p>
      <w:pPr>
        <w:spacing w:after="0" w:line="227" w:lineRule="exact"/>
        <w:rPr>
          <w:sz w:val="20"/>
          <w:szCs w:val="20"/>
          <w:color w:val="auto"/>
        </w:rPr>
      </w:pPr>
    </w:p>
    <w:p>
      <w:pPr>
        <w:jc w:val="both"/>
        <w:ind w:firstLine="584"/>
        <w:spacing w:after="0" w:line="261" w:lineRule="auto"/>
        <w:rPr>
          <w:sz w:val="20"/>
          <w:szCs w:val="20"/>
          <w:color w:val="auto"/>
        </w:rPr>
      </w:pPr>
      <w:r>
        <w:rPr>
          <w:rFonts w:ascii="Times New Roman" w:cs="Times New Roman" w:eastAsia="Times New Roman" w:hAnsi="Times New Roman"/>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80" w:lineRule="exact"/>
        <w:rPr>
          <w:sz w:val="20"/>
          <w:szCs w:val="20"/>
          <w:color w:val="auto"/>
        </w:rPr>
      </w:pPr>
    </w:p>
    <w:p>
      <w:pPr>
        <w:jc w:val="both"/>
        <w:ind w:firstLine="584"/>
        <w:spacing w:after="0" w:line="258" w:lineRule="auto"/>
        <w:rPr>
          <w:sz w:val="20"/>
          <w:szCs w:val="20"/>
          <w:color w:val="auto"/>
        </w:rPr>
      </w:pPr>
      <w:r>
        <w:rPr>
          <w:rFonts w:ascii="Times New Roman" w:cs="Times New Roman" w:eastAsia="Times New Roman" w:hAnsi="Times New Roman"/>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December 31, 2017, the Fund had no non-accrual assets in its portfolio.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584"/>
        <w:spacing w:after="0" w:line="261" w:lineRule="auto"/>
        <w:rPr>
          <w:sz w:val="20"/>
          <w:szCs w:val="20"/>
          <w:color w:val="auto"/>
        </w:rPr>
      </w:pPr>
      <w:r>
        <w:rPr>
          <w:rFonts w:ascii="Times New Roman" w:cs="Times New Roman" w:eastAsia="Times New Roman" w:hAnsi="Times New Roman"/>
          <w:sz w:val="18"/>
          <w:szCs w:val="18"/>
          <w:color w:val="auto"/>
        </w:rPr>
        <w:t>Other income includes distributions from fee letters and success fees associated with portfolio investments. Distributions from fee letters are based upon a percentage of the collateral manager’s fees,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U.S. FEDERAL INCOME TAXES</w:t>
      </w:r>
    </w:p>
    <w:p>
      <w:pPr>
        <w:spacing w:after="0" w:line="225" w:lineRule="exact"/>
        <w:rPr>
          <w:sz w:val="20"/>
          <w:szCs w:val="20"/>
          <w:color w:val="auto"/>
        </w:rPr>
      </w:pPr>
    </w:p>
    <w:p>
      <w:pPr>
        <w:ind w:right="200" w:firstLine="584"/>
        <w:spacing w:after="0" w:line="261" w:lineRule="auto"/>
        <w:rPr>
          <w:sz w:val="20"/>
          <w:szCs w:val="20"/>
          <w:color w:val="auto"/>
        </w:rPr>
      </w:pPr>
      <w:r>
        <w:rPr>
          <w:rFonts w:ascii="Times New Roman" w:cs="Times New Roman" w:eastAsia="Times New Roman" w:hAnsi="Times New Roman"/>
          <w:sz w:val="18"/>
          <w:szCs w:val="18"/>
          <w:color w:val="auto"/>
        </w:rPr>
        <w:t>The Fund intends to operate so as to continue to qualify to be taxed as a regulated investment company (“RIC”) under Subchapter M of the Internal Revenue Code of 1986, as amended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80" w:lineRule="exact"/>
        <w:rPr>
          <w:sz w:val="20"/>
          <w:szCs w:val="20"/>
          <w:color w:val="auto"/>
        </w:rPr>
      </w:pPr>
    </w:p>
    <w:p>
      <w:pPr>
        <w:ind w:right="220" w:firstLine="584"/>
        <w:spacing w:after="0" w:line="261" w:lineRule="auto"/>
        <w:rPr>
          <w:sz w:val="20"/>
          <w:szCs w:val="20"/>
          <w:color w:val="auto"/>
        </w:rPr>
      </w:pPr>
      <w:r>
        <w:rPr>
          <w:rFonts w:ascii="Times New Roman" w:cs="Times New Roman" w:eastAsia="Times New Roman" w:hAnsi="Times New Roman"/>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w:t>
      </w:r>
    </w:p>
    <w:p>
      <w:pPr>
        <w:spacing w:after="0" w:line="180" w:lineRule="exact"/>
        <w:rPr>
          <w:sz w:val="20"/>
          <w:szCs w:val="20"/>
          <w:color w:val="auto"/>
        </w:rPr>
      </w:pPr>
    </w:p>
    <w:p>
      <w:pPr>
        <w:ind w:right="300" w:firstLine="584"/>
        <w:spacing w:after="0" w:line="266" w:lineRule="auto"/>
        <w:rPr>
          <w:sz w:val="20"/>
          <w:szCs w:val="20"/>
          <w:color w:val="auto"/>
        </w:rPr>
      </w:pPr>
      <w:r>
        <w:rPr>
          <w:rFonts w:ascii="Times New Roman" w:cs="Times New Roman" w:eastAsia="Times New Roman" w:hAnsi="Times New Roman"/>
          <w:sz w:val="18"/>
          <w:szCs w:val="18"/>
          <w:color w:val="auto"/>
        </w:rPr>
        <w:t>Differences between distributions and net investment income may also result from the treatment of short-term gains as ordinary income for tax purposes. Our distribution policy is based upon our estimate of our distributable net investment income, which includes actual distributions from our CLO equity class investments, with further consideration given to our realized gains or losses on a taxable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 of December 31, 2017, the cost and net unrealized depreciation of securities on a tax basis were as follows: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for federal income tax purposes</w:t>
            </w:r>
          </w:p>
        </w:tc>
        <w:tc>
          <w:tcPr>
            <w:tcW w:w="9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518,840,050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unrealized appreciation</w:t>
            </w: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25,031,388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depreciation</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(111,300,485)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(86,269,097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Item 2. Controls and Procedures.</w:t>
      </w:r>
    </w:p>
    <w:p>
      <w:pPr>
        <w:spacing w:after="0" w:line="225" w:lineRule="exact"/>
        <w:rPr>
          <w:sz w:val="20"/>
          <w:szCs w:val="20"/>
          <w:color w:val="auto"/>
        </w:rPr>
      </w:pPr>
    </w:p>
    <w:p>
      <w:pPr>
        <w:ind w:firstLine="258"/>
        <w:spacing w:after="0" w:line="274" w:lineRule="auto"/>
        <w:tabs>
          <w:tab w:leader="none" w:pos="6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an evaluation of the Disclosure Controls and Procedures (as defined in Rule 30a-3(c) under the Investment Company Act of 1940, as amended, the “Disclosure Controls”) as of a date within 90 days prior to the filing date (the “Filing Date”) of this Form N-Q (the “Report”), the Chief Executive Officer (the principal executive officer) and Chief Financial Officer (the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73" w:lineRule="exact"/>
        <w:rPr>
          <w:rFonts w:ascii="Times New Roman" w:cs="Times New Roman" w:eastAsia="Times New Roman" w:hAnsi="Times New Roman"/>
          <w:sz w:val="17"/>
          <w:szCs w:val="17"/>
          <w:color w:val="auto"/>
        </w:rPr>
      </w:pPr>
    </w:p>
    <w:p>
      <w:pPr>
        <w:ind w:right="100" w:firstLine="258"/>
        <w:spacing w:after="0" w:line="266" w:lineRule="auto"/>
        <w:tabs>
          <w:tab w:leader="none" w:pos="6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Registrant’s internal control over financial reporting (as defined in Rule 30a-3(d) under the Investment Company Act of 1940, as amended) that occurred during the Registrant’s last fiscal quarter that have materially affected or are reasonably likely to materially affect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Exhibits.</w:t>
      </w:r>
    </w:p>
    <w:p>
      <w:pPr>
        <w:spacing w:after="0" w:line="225" w:lineRule="exact"/>
        <w:rPr>
          <w:sz w:val="20"/>
          <w:szCs w:val="20"/>
          <w:color w:val="auto"/>
        </w:rPr>
      </w:pPr>
    </w:p>
    <w:p>
      <w:pPr>
        <w:ind w:right="140" w:firstLine="584"/>
        <w:spacing w:after="0" w:line="282" w:lineRule="auto"/>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as required by Rule 30a-2(a)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and the Investment Company Act of 1940,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25" w:lineRule="exact"/>
        <w:rPr>
          <w:sz w:val="20"/>
          <w:szCs w:val="20"/>
          <w:color w:val="auto"/>
        </w:rPr>
      </w:pPr>
    </w:p>
    <w:p>
      <w:pPr>
        <w:ind w:left="260"/>
        <w:spacing w:after="0"/>
        <w:tabs>
          <w:tab w:leader="none" w:pos="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H. Cohen</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559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Date: February 8, 2018</w:t>
      </w:r>
    </w:p>
    <w:p>
      <w:pPr>
        <w:spacing w:after="0" w:line="22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and the Investment Company Act of 1940, as amended,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By:  /s/ Jonathan H. Cohen</w:t>
            </w:r>
          </w:p>
        </w:tc>
        <w:tc>
          <w:tcPr>
            <w:tcW w:w="670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 /s/ Bruce L. Rubin</w:t>
            </w:r>
          </w:p>
        </w:tc>
        <w:tc>
          <w:tcPr>
            <w:tcW w:w="340" w:type="dxa"/>
            <w:vAlign w:val="bottom"/>
          </w:tcPr>
          <w:p>
            <w:pPr>
              <w:spacing w:after="0"/>
              <w:rPr>
                <w:sz w:val="20"/>
                <w:szCs w:val="20"/>
                <w:color w:val="auto"/>
              </w:rPr>
            </w:pPr>
          </w:p>
        </w:tc>
      </w:tr>
      <w:tr>
        <w:trPr>
          <w:trHeight w:val="191"/>
        </w:trPr>
        <w:tc>
          <w:tcPr>
            <w:tcW w:w="700" w:type="dxa"/>
            <w:vAlign w:val="bottom"/>
          </w:tcPr>
          <w:p>
            <w:pPr>
              <w:spacing w:after="0"/>
              <w:rPr>
                <w:sz w:val="16"/>
                <w:szCs w:val="16"/>
                <w:color w:val="auto"/>
              </w:rPr>
            </w:pPr>
          </w:p>
        </w:tc>
        <w:tc>
          <w:tcPr>
            <w:tcW w:w="3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Jonathan H. Cohen</w:t>
            </w:r>
          </w:p>
        </w:tc>
        <w:tc>
          <w:tcPr>
            <w:tcW w:w="3020" w:type="dxa"/>
            <w:vAlign w:val="bottom"/>
          </w:tcPr>
          <w:p>
            <w:pPr>
              <w:spacing w:after="0"/>
              <w:rPr>
                <w:sz w:val="16"/>
                <w:szCs w:val="16"/>
                <w:color w:val="auto"/>
              </w:rPr>
            </w:pPr>
          </w:p>
        </w:tc>
        <w:tc>
          <w:tcPr>
            <w:tcW w:w="3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Bruce L. Rubin</w:t>
            </w:r>
          </w:p>
        </w:tc>
        <w:tc>
          <w:tcPr>
            <w:tcW w:w="340" w:type="dxa"/>
            <w:vAlign w:val="bottom"/>
          </w:tcPr>
          <w:p>
            <w:pPr>
              <w:spacing w:after="0"/>
              <w:rPr>
                <w:sz w:val="16"/>
                <w:szCs w:val="16"/>
                <w:color w:val="auto"/>
              </w:rPr>
            </w:pPr>
          </w:p>
        </w:tc>
      </w:tr>
      <w:tr>
        <w:trPr>
          <w:trHeight w:val="216"/>
        </w:trPr>
        <w:tc>
          <w:tcPr>
            <w:tcW w:w="4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30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34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40" w:type="dxa"/>
            <w:vAlign w:val="bottom"/>
          </w:tcPr>
          <w:p>
            <w:pPr>
              <w:spacing w:after="0"/>
              <w:rPr>
                <w:sz w:val="20"/>
                <w:szCs w:val="20"/>
                <w:color w:val="auto"/>
              </w:rPr>
            </w:pPr>
          </w:p>
        </w:tc>
      </w:tr>
      <w:tr>
        <w:trPr>
          <w:trHeight w:val="432"/>
        </w:trPr>
        <w:tc>
          <w:tcPr>
            <w:tcW w:w="4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 February 8, 2018</w:t>
            </w:r>
          </w:p>
        </w:tc>
        <w:tc>
          <w:tcPr>
            <w:tcW w:w="30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2018</w:t>
            </w:r>
          </w:p>
        </w:tc>
        <w:tc>
          <w:tcPr>
            <w:tcW w:w="340" w:type="dxa"/>
            <w:vAlign w:val="bottom"/>
          </w:tcPr>
          <w:p>
            <w:pPr>
              <w:spacing w:after="0"/>
              <w:rPr>
                <w:sz w:val="24"/>
                <w:szCs w:val="24"/>
                <w:color w:val="auto"/>
              </w:rPr>
            </w:pPr>
          </w:p>
        </w:tc>
      </w:tr>
      <w:tr>
        <w:trPr>
          <w:trHeight w:val="675"/>
        </w:trPr>
        <w:tc>
          <w:tcPr>
            <w:tcW w:w="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99.Cert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12(a)(2)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30a-2(a)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H. Cohen, Chief Executive Officer of Oxford Lane Capital Corp., certify that:</w:t>
      </w:r>
    </w:p>
    <w:p>
      <w:pPr>
        <w:spacing w:after="0" w:line="225" w:lineRule="exact"/>
        <w:rPr>
          <w:sz w:val="20"/>
          <w:szCs w:val="20"/>
          <w:color w:val="auto"/>
        </w:rPr>
      </w:pPr>
    </w:p>
    <w:p>
      <w:pPr>
        <w:ind w:left="580" w:hanging="275"/>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N-Q of Oxford Lane Capital Corp.;</w:t>
      </w:r>
    </w:p>
    <w:p>
      <w:pPr>
        <w:spacing w:after="0" w:line="225" w:lineRule="exact"/>
        <w:rPr>
          <w:rFonts w:ascii="Times New Roman" w:cs="Times New Roman" w:eastAsia="Times New Roman" w:hAnsi="Times New Roman"/>
          <w:sz w:val="18"/>
          <w:szCs w:val="18"/>
          <w:color w:val="auto"/>
        </w:rPr>
      </w:pPr>
    </w:p>
    <w:p>
      <w:pPr>
        <w:jc w:val="both"/>
        <w:ind w:left="580" w:hanging="275"/>
        <w:spacing w:after="0" w:line="26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hanging="275"/>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61" w:lineRule="exact"/>
        <w:rPr>
          <w:rFonts w:ascii="Times New Roman" w:cs="Times New Roman" w:eastAsia="Times New Roman" w:hAnsi="Times New Roman"/>
          <w:sz w:val="18"/>
          <w:szCs w:val="18"/>
          <w:color w:val="auto"/>
        </w:rPr>
      </w:pPr>
    </w:p>
    <w:p>
      <w:pPr>
        <w:jc w:val="both"/>
        <w:ind w:left="580" w:right="100" w:hanging="275"/>
        <w:spacing w:after="0" w:line="26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76" w:lineRule="exact"/>
        <w:rPr>
          <w:rFonts w:ascii="Times New Roman" w:cs="Times New Roman" w:eastAsia="Times New Roman" w:hAnsi="Times New Roman"/>
          <w:sz w:val="18"/>
          <w:szCs w:val="18"/>
          <w:color w:val="auto"/>
        </w:rPr>
      </w:pPr>
    </w:p>
    <w:p>
      <w:pPr>
        <w:jc w:val="both"/>
        <w:ind w:left="880" w:hanging="291"/>
        <w:spacing w:after="0" w:line="266" w:lineRule="auto"/>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80" w:right="20" w:hanging="291"/>
        <w:spacing w:after="0" w:line="266" w:lineRule="auto"/>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100" w:hanging="291"/>
        <w:spacing w:after="0" w:line="266" w:lineRule="auto"/>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76" w:lineRule="exact"/>
        <w:rPr>
          <w:rFonts w:ascii="Times New Roman" w:cs="Times New Roman" w:eastAsia="Times New Roman" w:hAnsi="Times New Roman"/>
          <w:sz w:val="18"/>
          <w:szCs w:val="18"/>
          <w:color w:val="auto"/>
        </w:rPr>
      </w:pPr>
    </w:p>
    <w:p>
      <w:pPr>
        <w:ind w:left="880" w:hanging="291"/>
        <w:spacing w:after="0" w:line="282" w:lineRule="auto"/>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580" w:right="180" w:hanging="275"/>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280" w:hanging="291"/>
        <w:spacing w:after="0" w:line="282" w:lineRule="auto"/>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240" w:hanging="291"/>
        <w:spacing w:after="0" w:line="282" w:lineRule="auto"/>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8th day of February,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Exhibit 12(a)(2)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30a-2(a)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L. Rubin, Chief Financial Officer of Oxford Lane Capital Corp., certify that:</w:t>
      </w:r>
    </w:p>
    <w:p>
      <w:pPr>
        <w:spacing w:after="0" w:line="225" w:lineRule="exact"/>
        <w:rPr>
          <w:sz w:val="20"/>
          <w:szCs w:val="20"/>
          <w:color w:val="auto"/>
        </w:rPr>
      </w:pPr>
    </w:p>
    <w:p>
      <w:pPr>
        <w:ind w:left="580" w:hanging="27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N-Q of Oxford Lane Capital Corp.;</w:t>
      </w:r>
    </w:p>
    <w:p>
      <w:pPr>
        <w:spacing w:after="0" w:line="225" w:lineRule="exact"/>
        <w:rPr>
          <w:rFonts w:ascii="Times New Roman" w:cs="Times New Roman" w:eastAsia="Times New Roman" w:hAnsi="Times New Roman"/>
          <w:sz w:val="18"/>
          <w:szCs w:val="18"/>
          <w:color w:val="auto"/>
        </w:rPr>
      </w:pPr>
    </w:p>
    <w:p>
      <w:pPr>
        <w:jc w:val="both"/>
        <w:ind w:left="580" w:hanging="275"/>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hanging="27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61" w:lineRule="exact"/>
        <w:rPr>
          <w:rFonts w:ascii="Times New Roman" w:cs="Times New Roman" w:eastAsia="Times New Roman" w:hAnsi="Times New Roman"/>
          <w:sz w:val="18"/>
          <w:szCs w:val="18"/>
          <w:color w:val="auto"/>
        </w:rPr>
      </w:pPr>
    </w:p>
    <w:p>
      <w:pPr>
        <w:jc w:val="both"/>
        <w:ind w:left="580" w:right="100" w:hanging="275"/>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76" w:lineRule="exact"/>
        <w:rPr>
          <w:rFonts w:ascii="Times New Roman" w:cs="Times New Roman" w:eastAsia="Times New Roman" w:hAnsi="Times New Roman"/>
          <w:sz w:val="18"/>
          <w:szCs w:val="18"/>
          <w:color w:val="auto"/>
        </w:rPr>
      </w:pPr>
    </w:p>
    <w:p>
      <w:pPr>
        <w:jc w:val="both"/>
        <w:ind w:left="880" w:right="380" w:hanging="291"/>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80" w:right="20" w:hanging="291"/>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100" w:hanging="291"/>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76" w:lineRule="exact"/>
        <w:rPr>
          <w:rFonts w:ascii="Times New Roman" w:cs="Times New Roman" w:eastAsia="Times New Roman" w:hAnsi="Times New Roman"/>
          <w:sz w:val="18"/>
          <w:szCs w:val="18"/>
          <w:color w:val="auto"/>
        </w:rPr>
      </w:pPr>
    </w:p>
    <w:p>
      <w:pPr>
        <w:ind w:left="880" w:hanging="291"/>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580" w:right="180" w:hanging="275"/>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280" w:hanging="291"/>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240" w:hanging="291"/>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8th day of February,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L. RUBIN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99.906CERT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12(b)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30a-2(b) Certification</w:t>
      </w:r>
    </w:p>
    <w:p>
      <w:pPr>
        <w:spacing w:after="0" w:line="207" w:lineRule="exact"/>
        <w:rPr>
          <w:sz w:val="20"/>
          <w:szCs w:val="20"/>
          <w:color w:val="auto"/>
        </w:rPr>
      </w:pPr>
    </w:p>
    <w:p>
      <w:pPr>
        <w:jc w:val="both"/>
        <w:ind w:right="80" w:firstLine="437"/>
        <w:spacing w:after="0" w:line="266" w:lineRule="auto"/>
        <w:rPr>
          <w:sz w:val="20"/>
          <w:szCs w:val="20"/>
          <w:color w:val="auto"/>
        </w:rPr>
      </w:pPr>
      <w:r>
        <w:rPr>
          <w:rFonts w:ascii="Times New Roman" w:cs="Times New Roman" w:eastAsia="Times New Roman" w:hAnsi="Times New Roman"/>
          <w:sz w:val="18"/>
          <w:szCs w:val="18"/>
          <w:color w:val="auto"/>
        </w:rPr>
        <w:t>In connection with the Report on Form N-Q for the quarter ended December 31, 2017 (the “Report”) of Oxford Lane Capital Corp. (the “Registrant”), as filed with the Securities and Exchange Commission on the date hereof, I, Jonathan H. Cohen, the Chief Executive Officer of the Registrant, hereby certify, to the best of my knowledge, that:</w:t>
      </w:r>
    </w:p>
    <w:p>
      <w:pPr>
        <w:spacing w:after="0" w:line="176" w:lineRule="exact"/>
        <w:rPr>
          <w:sz w:val="20"/>
          <w:szCs w:val="20"/>
          <w:color w:val="auto"/>
        </w:rPr>
      </w:pPr>
    </w:p>
    <w:p>
      <w:pPr>
        <w:ind w:left="880" w:hanging="291"/>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80" w:hanging="291"/>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color w:val="auto"/>
        </w:rPr>
        <w:t>Exhibit 12(b)</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30a-2(b) Certification</w:t>
      </w:r>
    </w:p>
    <w:p>
      <w:pPr>
        <w:spacing w:after="0" w:line="207" w:lineRule="exact"/>
        <w:rPr>
          <w:sz w:val="20"/>
          <w:szCs w:val="20"/>
          <w:color w:val="auto"/>
        </w:rPr>
      </w:pPr>
    </w:p>
    <w:p>
      <w:pPr>
        <w:jc w:val="both"/>
        <w:ind w:right="100" w:firstLine="437"/>
        <w:spacing w:after="0" w:line="266" w:lineRule="auto"/>
        <w:rPr>
          <w:sz w:val="20"/>
          <w:szCs w:val="20"/>
          <w:color w:val="auto"/>
        </w:rPr>
      </w:pPr>
      <w:r>
        <w:rPr>
          <w:rFonts w:ascii="Times New Roman" w:cs="Times New Roman" w:eastAsia="Times New Roman" w:hAnsi="Times New Roman"/>
          <w:sz w:val="18"/>
          <w:szCs w:val="18"/>
          <w:color w:val="auto"/>
        </w:rPr>
        <w:t>In connection with the Report on Form N-Q for the quarter ended December 31, 2017 (the “Report”) of Oxford Lane Capital Corp. (the “Registrant”), as filed with the Securities and Exchange Commission on the date hereof, I, Bruce L. Rubin, the Chief Financial Officer of the Registrant, hereby certify, to the best of my knowledge, that:</w:t>
      </w:r>
    </w:p>
    <w:p>
      <w:pPr>
        <w:spacing w:after="0" w:line="176" w:lineRule="exact"/>
        <w:rPr>
          <w:sz w:val="20"/>
          <w:szCs w:val="20"/>
          <w:color w:val="auto"/>
        </w:rPr>
      </w:pPr>
    </w:p>
    <w:p>
      <w:pPr>
        <w:ind w:left="880" w:hanging="291"/>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80" w:hanging="291"/>
        <w:spacing w:after="0"/>
        <w:tabs>
          <w:tab w:leader="none" w:pos="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L. RUBIN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2020-01-14T07:23:05Z</dcterms:created>
  <dcterms:modified xsi:type="dcterms:W3CDTF">2020-01-14T07:23:05Z</dcterms:modified>
</cp:coreProperties>
</file>