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March 16,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8-A</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Registration of Certain Classes of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Oxford Lane Capital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
          </w:tcPr>
          <w:p>
            <w:pPr>
              <w:jc w:val="center"/>
              <w:ind w:right="2580"/>
              <w:spacing w:after="0"/>
              <w:rPr>
                <w:sz w:val="20"/>
                <w:szCs w:val="20"/>
                <w:color w:val="auto"/>
              </w:rPr>
            </w:pPr>
            <w:r>
              <w:rPr>
                <w:rFonts w:ascii="Arial" w:cs="Arial" w:eastAsia="Arial" w:hAnsi="Arial"/>
                <w:sz w:val="18"/>
                <w:szCs w:val="18"/>
                <w:color w:val="auto"/>
                <w:w w:val="94"/>
              </w:rPr>
              <w:t>Maryland</w:t>
            </w:r>
          </w:p>
        </w:tc>
        <w:tc>
          <w:tcPr>
            <w:tcW w:w="366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27-2859071</w:t>
            </w:r>
          </w:p>
        </w:tc>
        <w:tc>
          <w:tcPr>
            <w:tcW w:w="1540" w:type="dxa"/>
            <w:vAlign w:val="bottom"/>
            <w:tcBorders>
              <w:bottom w:val="single" w:sz="8" w:color="auto"/>
            </w:tcBorders>
          </w:tcPr>
          <w:p>
            <w:pPr>
              <w:spacing w:after="0"/>
              <w:rPr>
                <w:sz w:val="20"/>
                <w:szCs w:val="20"/>
                <w:color w:val="auto"/>
              </w:rPr>
            </w:pPr>
          </w:p>
        </w:tc>
      </w:tr>
      <w:tr>
        <w:trPr>
          <w:trHeight w:val="224"/>
        </w:trPr>
        <w:tc>
          <w:tcPr>
            <w:tcW w:w="604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0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(I.R.S. Employer Identification No.)</w:t>
            </w:r>
          </w:p>
        </w:tc>
      </w:tr>
      <w:tr>
        <w:trPr>
          <w:trHeight w:val="403"/>
        </w:trPr>
        <w:tc>
          <w:tcPr>
            <w:tcW w:w="604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8 Sound Shore Drive, Suite 255</w:t>
            </w:r>
          </w:p>
        </w:tc>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0"/>
        </w:trPr>
        <w:tc>
          <w:tcPr>
            <w:tcW w:w="21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
          </w:tcPr>
          <w:p>
            <w:pPr>
              <w:jc w:val="center"/>
              <w:ind w:right="2560"/>
              <w:spacing w:after="0"/>
              <w:rPr>
                <w:sz w:val="20"/>
                <w:szCs w:val="20"/>
                <w:color w:val="auto"/>
              </w:rPr>
            </w:pPr>
            <w:r>
              <w:rPr>
                <w:rFonts w:ascii="Arial" w:cs="Arial" w:eastAsia="Arial" w:hAnsi="Arial"/>
                <w:sz w:val="18"/>
                <w:szCs w:val="18"/>
                <w:color w:val="auto"/>
                <w:w w:val="93"/>
              </w:rPr>
              <w:t>Greenwich, CT</w:t>
            </w:r>
          </w:p>
        </w:tc>
        <w:tc>
          <w:tcPr>
            <w:tcW w:w="366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color w:val="auto"/>
              </w:rPr>
              <w:t>06830</w:t>
            </w:r>
          </w:p>
        </w:tc>
        <w:tc>
          <w:tcPr>
            <w:tcW w:w="1540" w:type="dxa"/>
            <w:vAlign w:val="bottom"/>
            <w:tcBorders>
              <w:bottom w:val="single" w:sz="8" w:color="auto"/>
            </w:tcBorders>
          </w:tcPr>
          <w:p>
            <w:pPr>
              <w:spacing w:after="0"/>
              <w:rPr>
                <w:sz w:val="20"/>
                <w:szCs w:val="20"/>
                <w:color w:val="auto"/>
              </w:rPr>
            </w:pPr>
          </w:p>
        </w:tc>
      </w:tr>
      <w:tr>
        <w:trPr>
          <w:trHeight w:val="224"/>
        </w:trPr>
        <w:tc>
          <w:tcPr>
            <w:tcW w:w="604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4080" w:type="dxa"/>
            <w:vAlign w:val="bottom"/>
            <w:gridSpan w:val="2"/>
          </w:tcPr>
          <w:p>
            <w:pPr>
              <w:jc w:val="center"/>
              <w:ind w:right="1540"/>
              <w:spacing w:after="0"/>
              <w:rPr>
                <w:sz w:val="20"/>
                <w:szCs w:val="20"/>
                <w:color w:val="auto"/>
              </w:rPr>
            </w:pPr>
            <w:r>
              <w:rPr>
                <w:rFonts w:ascii="Arial" w:cs="Arial" w:eastAsia="Arial" w:hAnsi="Arial"/>
                <w:sz w:val="18"/>
                <w:szCs w:val="18"/>
                <w:color w:val="auto"/>
                <w:w w:val="91"/>
              </w:rPr>
              <w:t>(Zip Code)</w:t>
            </w:r>
          </w:p>
        </w:tc>
      </w:tr>
      <w:tr>
        <w:trPr>
          <w:trHeight w:val="418"/>
        </w:trPr>
        <w:tc>
          <w:tcPr>
            <w:tcW w:w="604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8"/>
        </w:trPr>
        <w:tc>
          <w:tcPr>
            <w:tcW w:w="2160" w:type="dxa"/>
            <w:vAlign w:val="bottom"/>
          </w:tcPr>
          <w:p>
            <w:pPr>
              <w:spacing w:after="0"/>
              <w:rPr>
                <w:sz w:val="24"/>
                <w:szCs w:val="24"/>
                <w:color w:val="auto"/>
              </w:rPr>
            </w:pPr>
          </w:p>
        </w:tc>
        <w:tc>
          <w:tcPr>
            <w:tcW w:w="3880" w:type="dxa"/>
            <w:vAlign w:val="bottom"/>
            <w:gridSpan w:val="2"/>
          </w:tcPr>
          <w:p>
            <w:pPr>
              <w:jc w:val="center"/>
              <w:ind w:right="2580"/>
              <w:spacing w:after="0"/>
              <w:rPr>
                <w:sz w:val="20"/>
                <w:szCs w:val="20"/>
                <w:color w:val="auto"/>
              </w:rPr>
            </w:pPr>
            <w:r>
              <w:rPr>
                <w:rFonts w:ascii="Arial" w:cs="Arial" w:eastAsia="Arial" w:hAnsi="Arial"/>
                <w:sz w:val="18"/>
                <w:szCs w:val="18"/>
                <w:color w:val="auto"/>
                <w:w w:val="90"/>
              </w:rPr>
              <w:t>Title of each class</w:t>
            </w:r>
          </w:p>
        </w:tc>
        <w:tc>
          <w:tcPr>
            <w:tcW w:w="1120" w:type="dxa"/>
            <w:vAlign w:val="bottom"/>
          </w:tcPr>
          <w:p>
            <w:pPr>
              <w:spacing w:after="0"/>
              <w:rPr>
                <w:sz w:val="24"/>
                <w:szCs w:val="24"/>
                <w:color w:val="auto"/>
              </w:rPr>
            </w:pPr>
          </w:p>
        </w:tc>
        <w:tc>
          <w:tcPr>
            <w:tcW w:w="4080" w:type="dxa"/>
            <w:vAlign w:val="bottom"/>
            <w:gridSpan w:val="2"/>
          </w:tcPr>
          <w:p>
            <w:pPr>
              <w:jc w:val="center"/>
              <w:ind w:right="1540"/>
              <w:spacing w:after="0"/>
              <w:rPr>
                <w:sz w:val="20"/>
                <w:szCs w:val="20"/>
                <w:color w:val="auto"/>
              </w:rPr>
            </w:pPr>
            <w:r>
              <w:rPr>
                <w:rFonts w:ascii="Arial" w:cs="Arial" w:eastAsia="Arial" w:hAnsi="Arial"/>
                <w:sz w:val="18"/>
                <w:szCs w:val="18"/>
                <w:color w:val="auto"/>
                <w:w w:val="88"/>
              </w:rPr>
              <w:t>Name of each exchange on</w:t>
            </w:r>
          </w:p>
        </w:tc>
      </w:tr>
      <w:tr>
        <w:trPr>
          <w:trHeight w:val="190"/>
        </w:trPr>
        <w:tc>
          <w:tcPr>
            <w:tcW w:w="2160" w:type="dxa"/>
            <w:vAlign w:val="bottom"/>
          </w:tcPr>
          <w:p>
            <w:pPr>
              <w:spacing w:after="0"/>
              <w:rPr>
                <w:sz w:val="16"/>
                <w:szCs w:val="16"/>
                <w:color w:val="auto"/>
              </w:rPr>
            </w:pPr>
          </w:p>
        </w:tc>
        <w:tc>
          <w:tcPr>
            <w:tcW w:w="13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8"/>
              </w:rPr>
              <w:t>to be so registered</w:t>
            </w:r>
          </w:p>
        </w:tc>
        <w:tc>
          <w:tcPr>
            <w:tcW w:w="2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9"/>
              </w:rPr>
              <w:t>which each class is to be registered</w:t>
            </w:r>
          </w:p>
        </w:tc>
        <w:tc>
          <w:tcPr>
            <w:tcW w:w="1540" w:type="dxa"/>
            <w:vAlign w:val="bottom"/>
          </w:tcPr>
          <w:p>
            <w:pPr>
              <w:spacing w:after="0"/>
              <w:rPr>
                <w:sz w:val="16"/>
                <w:szCs w:val="16"/>
                <w:color w:val="auto"/>
              </w:rPr>
            </w:pPr>
          </w:p>
        </w:tc>
      </w:tr>
      <w:tr>
        <w:trPr>
          <w:trHeight w:val="668"/>
        </w:trPr>
        <w:tc>
          <w:tcPr>
            <w:tcW w:w="60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89"/>
              </w:rPr>
              <w:t>6.75% Notes due 2031</w:t>
            </w:r>
          </w:p>
        </w:tc>
        <w:tc>
          <w:tcPr>
            <w:tcW w:w="1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jc w:val="center"/>
              <w:ind w:right="152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333-225462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INFORMATION REQUIRED IN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Description of the Registrant's Securities to be Registered.</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Form 8-A is being filed in connection with Oxford Lane Capital Corp.’s, a Maryland corporation (the “Registrant”), offering of its 6.75% Notes due 2031 (the “Notes”). The Notes are expected to be listed on the NASDAQ Global Select Market and to trade thereon beginning on March 18, 2021 under the trading symbol “OXLCL”. As of March 16, 2021, the Registrant had sold and issued $87.0 million in aggregate principal amount of the Notes.</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description of the Notes is incorporated herein by reference to the information under the headings “Specific Terms of the Notes and the Offering,” “Description of the Notes,” and “Description of Our Debt Securities” in the Registrant’s prospectus supplement dated March 9, 2021, as filed with the SEC on March 11, 2021 pursuant to Rule 424(b)(5) under the Securities Act of 1933, as amended.</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Exhibits.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Instructions as to exhibits for registration statements on Form 8-A, the documents listed below are filed as exhibits to this Registration Statement:</w:t>
      </w:r>
    </w:p>
    <w:p>
      <w:pPr>
        <w:spacing w:after="0" w:line="170" w:lineRule="exact"/>
        <w:rPr>
          <w:sz w:val="20"/>
          <w:szCs w:val="20"/>
          <w:color w:val="auto"/>
        </w:rPr>
      </w:pPr>
    </w:p>
    <w:p>
      <w:pPr>
        <w:ind w:left="580" w:right="440" w:hanging="566"/>
        <w:spacing w:after="0" w:line="342"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Base Indenture by and between the Registrant and U.S. Bank National Association, as trustee (Filed as Exhibit 4.1 to the Registrant’s Current Report on Form 8-K, filed on March 16, 2021 with the Securities and Exchange Commission, and incorporated herein by reference).</w:t>
      </w:r>
    </w:p>
    <w:p>
      <w:pPr>
        <w:spacing w:after="0" w:line="124" w:lineRule="exact"/>
        <w:rPr>
          <w:sz w:val="20"/>
          <w:szCs w:val="20"/>
          <w:color w:val="auto"/>
        </w:rPr>
      </w:pPr>
    </w:p>
    <w:p>
      <w:pPr>
        <w:ind w:left="580" w:right="40" w:hanging="566"/>
        <w:spacing w:after="0" w:line="263"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Form of First Supplemental Indenture relating to the 6.75% Notes due 2031, by and between the Registrant and U.S. Bank National Association, as trustee (Filed as Exhibit 4.2 to the Registrant’s Current Report on Form 8-K, filed on March 16, 2021 with the Securities and Exchange Commission, and incorporated herein by reference).</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Global Note with respect to the 6.75% Notes due 2031 (incorporated by reference to Exhibit 4.2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16,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OXFORD LANE CAPITAL CORP.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Saul B.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Saul B. Rosenthal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2021-03-16T16:00:55Z</dcterms:created>
  <dcterms:modified xsi:type="dcterms:W3CDTF">2021-03-16T16:00:55Z</dcterms:modified>
</cp:coreProperties>
</file>