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gridSpan w:val="3"/>
          </w:tcPr>
          <w:p>
            <w:pPr>
              <w:jc w:val="center"/>
              <w:ind w:right="4710"/>
              <w:spacing w:after="0"/>
              <w:rPr>
                <w:sz w:val="20"/>
                <w:szCs w:val="20"/>
                <w:color w:val="auto"/>
              </w:rPr>
            </w:pPr>
            <w:r>
              <w:rPr>
                <w:rFonts w:ascii="Arial" w:cs="Arial" w:eastAsia="Arial" w:hAnsi="Arial"/>
                <w:sz w:val="18"/>
                <w:szCs w:val="18"/>
                <w:b w:val="1"/>
                <w:bCs w:val="1"/>
                <w:color w:val="auto"/>
                <w:w w:val="99"/>
              </w:rPr>
              <w:t>UNITED STATES</w:t>
            </w:r>
          </w:p>
        </w:tc>
      </w:tr>
      <w:tr>
        <w:trPr>
          <w:trHeight w:val="216"/>
        </w:trPr>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760" w:type="dxa"/>
            <w:vAlign w:val="bottom"/>
            <w:gridSpan w:val="6"/>
          </w:tcPr>
          <w:p>
            <w:pPr>
              <w:jc w:val="center"/>
              <w:ind w:right="355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2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40" w:type="dxa"/>
            <w:vAlign w:val="bottom"/>
            <w:gridSpan w:val="4"/>
          </w:tcPr>
          <w:p>
            <w:pPr>
              <w:jc w:val="center"/>
              <w:ind w:right="4490"/>
              <w:spacing w:after="0"/>
              <w:rPr>
                <w:sz w:val="20"/>
                <w:szCs w:val="20"/>
                <w:color w:val="auto"/>
              </w:rPr>
            </w:pPr>
            <w:r>
              <w:rPr>
                <w:rFonts w:ascii="Arial" w:cs="Arial" w:eastAsia="Arial" w:hAnsi="Arial"/>
                <w:sz w:val="18"/>
                <w:szCs w:val="18"/>
                <w:b w:val="1"/>
                <w:bCs w:val="1"/>
                <w:color w:val="auto"/>
                <w:w w:val="91"/>
              </w:rPr>
              <w:t>Washington, D.C. 20549</w:t>
            </w:r>
          </w:p>
        </w:tc>
      </w:tr>
      <w:tr>
        <w:trPr>
          <w:trHeight w:val="469"/>
        </w:trPr>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jc w:val="center"/>
              <w:ind w:right="4710"/>
              <w:spacing w:after="0"/>
              <w:rPr>
                <w:sz w:val="20"/>
                <w:szCs w:val="20"/>
                <w:color w:val="auto"/>
              </w:rPr>
            </w:pPr>
            <w:r>
              <w:rPr>
                <w:rFonts w:ascii="Arial" w:cs="Arial" w:eastAsia="Arial" w:hAnsi="Arial"/>
                <w:sz w:val="22"/>
                <w:szCs w:val="22"/>
                <w:b w:val="1"/>
                <w:bCs w:val="1"/>
                <w:color w:val="auto"/>
                <w:w w:val="98"/>
              </w:rPr>
              <w:t>FORM N-Q</w:t>
            </w:r>
          </w:p>
        </w:tc>
      </w:tr>
      <w:tr>
        <w:trPr>
          <w:trHeight w:val="404"/>
        </w:trPr>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20" w:type="dxa"/>
            <w:vAlign w:val="bottom"/>
            <w:gridSpan w:val="7"/>
          </w:tcPr>
          <w:p>
            <w:pPr>
              <w:jc w:val="center"/>
              <w:ind w:right="2210"/>
              <w:spacing w:after="0"/>
              <w:rPr>
                <w:sz w:val="20"/>
                <w:szCs w:val="20"/>
                <w:color w:val="auto"/>
              </w:rPr>
            </w:pPr>
            <w:r>
              <w:rPr>
                <w:rFonts w:ascii="Arial" w:cs="Arial" w:eastAsia="Arial" w:hAnsi="Arial"/>
                <w:sz w:val="18"/>
                <w:szCs w:val="18"/>
                <w:b w:val="1"/>
                <w:bCs w:val="1"/>
                <w:color w:val="auto"/>
              </w:rPr>
              <w:t>QUARTERLY SCHEDULE OF PORTFOLIO HOLDINGS OF REGISTERED</w:t>
            </w:r>
          </w:p>
        </w:tc>
      </w:tr>
      <w:tr>
        <w:trPr>
          <w:trHeight w:val="234"/>
        </w:trPr>
        <w:tc>
          <w:tcPr>
            <w:tcW w:w="2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760" w:type="dxa"/>
            <w:vAlign w:val="bottom"/>
            <w:gridSpan w:val="6"/>
          </w:tcPr>
          <w:p>
            <w:pPr>
              <w:jc w:val="center"/>
              <w:ind w:right="3570"/>
              <w:spacing w:after="0"/>
              <w:rPr>
                <w:sz w:val="20"/>
                <w:szCs w:val="20"/>
                <w:color w:val="auto"/>
              </w:rPr>
            </w:pPr>
            <w:r>
              <w:rPr>
                <w:rFonts w:ascii="Arial" w:cs="Arial" w:eastAsia="Arial" w:hAnsi="Arial"/>
                <w:sz w:val="18"/>
                <w:szCs w:val="18"/>
                <w:b w:val="1"/>
                <w:bCs w:val="1"/>
                <w:color w:val="auto"/>
              </w:rPr>
              <w:t>MANAGEMENT INVESTMENT COMPANY</w:t>
            </w:r>
          </w:p>
        </w:tc>
      </w:tr>
      <w:tr>
        <w:trPr>
          <w:trHeight w:val="432"/>
        </w:trPr>
        <w:tc>
          <w:tcPr>
            <w:tcW w:w="3660" w:type="dxa"/>
            <w:vAlign w:val="bottom"/>
            <w:gridSpan w:val="3"/>
          </w:tcPr>
          <w:p>
            <w:pPr>
              <w:spacing w:after="0"/>
              <w:rPr>
                <w:sz w:val="20"/>
                <w:szCs w:val="20"/>
                <w:color w:val="auto"/>
              </w:rPr>
            </w:pPr>
            <w:r>
              <w:rPr>
                <w:rFonts w:ascii="Arial" w:cs="Arial" w:eastAsia="Arial" w:hAnsi="Arial"/>
                <w:sz w:val="18"/>
                <w:szCs w:val="18"/>
                <w:color w:val="auto"/>
              </w:rPr>
              <w:t>Investment Company Act file number</w:t>
            </w:r>
          </w:p>
        </w:tc>
        <w:tc>
          <w:tcPr>
            <w:tcW w:w="5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546"/>
              <w:spacing w:after="0"/>
              <w:rPr>
                <w:sz w:val="20"/>
                <w:szCs w:val="20"/>
                <w:color w:val="auto"/>
              </w:rPr>
            </w:pPr>
            <w:r>
              <w:rPr>
                <w:rFonts w:ascii="Arial" w:cs="Arial" w:eastAsia="Arial" w:hAnsi="Arial"/>
                <w:sz w:val="18"/>
                <w:szCs w:val="18"/>
                <w:color w:val="auto"/>
                <w:w w:val="97"/>
              </w:rPr>
              <w:t>811-22432</w:t>
            </w:r>
          </w:p>
        </w:tc>
        <w:tc>
          <w:tcPr>
            <w:tcW w:w="102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426"/>
        </w:trPr>
        <w:tc>
          <w:tcPr>
            <w:tcW w:w="2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4"/>
          </w:tcPr>
          <w:p>
            <w:pPr>
              <w:jc w:val="center"/>
              <w:ind w:right="4490"/>
              <w:spacing w:after="0"/>
              <w:rPr>
                <w:sz w:val="20"/>
                <w:szCs w:val="20"/>
                <w:color w:val="auto"/>
              </w:rPr>
            </w:pPr>
            <w:r>
              <w:rPr>
                <w:rFonts w:ascii="Arial" w:cs="Arial" w:eastAsia="Arial" w:hAnsi="Arial"/>
                <w:sz w:val="18"/>
                <w:szCs w:val="18"/>
                <w:color w:val="auto"/>
                <w:w w:val="92"/>
              </w:rPr>
              <w:t>Oxford Lane Capital Corp.</w:t>
            </w:r>
          </w:p>
        </w:tc>
      </w:tr>
      <w:tr>
        <w:trPr>
          <w:trHeight w:val="224"/>
        </w:trPr>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760" w:type="dxa"/>
            <w:vAlign w:val="bottom"/>
            <w:gridSpan w:val="6"/>
          </w:tcPr>
          <w:p>
            <w:pPr>
              <w:jc w:val="center"/>
              <w:ind w:right="3570"/>
              <w:spacing w:after="0"/>
              <w:rPr>
                <w:sz w:val="20"/>
                <w:szCs w:val="20"/>
                <w:color w:val="auto"/>
              </w:rPr>
            </w:pPr>
            <w:r>
              <w:rPr>
                <w:rFonts w:ascii="Arial" w:cs="Arial" w:eastAsia="Arial" w:hAnsi="Arial"/>
                <w:sz w:val="18"/>
                <w:szCs w:val="18"/>
                <w:color w:val="auto"/>
                <w:w w:val="90"/>
              </w:rPr>
              <w:t>(Exact name of registrant as specified in charter)</w:t>
            </w:r>
          </w:p>
        </w:tc>
      </w:tr>
      <w:tr>
        <w:trPr>
          <w:trHeight w:val="404"/>
        </w:trPr>
        <w:tc>
          <w:tcPr>
            <w:tcW w:w="4220" w:type="dxa"/>
            <w:vAlign w:val="bottom"/>
            <w:gridSpan w:val="4"/>
          </w:tcPr>
          <w:p>
            <w:pPr>
              <w:jc w:val="center"/>
              <w:ind w:left="1190"/>
              <w:spacing w:after="0"/>
              <w:rPr>
                <w:sz w:val="20"/>
                <w:szCs w:val="20"/>
                <w:color w:val="auto"/>
              </w:rPr>
            </w:pPr>
            <w:r>
              <w:rPr>
                <w:rFonts w:ascii="Arial" w:cs="Arial" w:eastAsia="Arial" w:hAnsi="Arial"/>
                <w:sz w:val="18"/>
                <w:szCs w:val="18"/>
                <w:color w:val="auto"/>
                <w:w w:val="90"/>
              </w:rPr>
              <w:t>8 Sound Shore Drive, Suite 255</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30"/>
        </w:trPr>
        <w:tc>
          <w:tcPr>
            <w:tcW w:w="20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630"/>
              <w:spacing w:after="0"/>
              <w:rPr>
                <w:sz w:val="20"/>
                <w:szCs w:val="20"/>
                <w:color w:val="auto"/>
              </w:rPr>
            </w:pPr>
            <w:r>
              <w:rPr>
                <w:rFonts w:ascii="Arial" w:cs="Arial" w:eastAsia="Arial" w:hAnsi="Arial"/>
                <w:sz w:val="18"/>
                <w:szCs w:val="18"/>
                <w:color w:val="auto"/>
                <w:w w:val="91"/>
              </w:rPr>
              <w:t>Greenwich, CT</w:t>
            </w:r>
          </w:p>
        </w:tc>
        <w:tc>
          <w:tcPr>
            <w:tcW w:w="7200" w:type="dxa"/>
            <w:vAlign w:val="bottom"/>
            <w:tcBorders>
              <w:bottom w:val="single" w:sz="8" w:color="auto"/>
            </w:tcBorders>
            <w:gridSpan w:val="5"/>
          </w:tcPr>
          <w:p>
            <w:pPr>
              <w:jc w:val="right"/>
              <w:ind w:right="2410"/>
              <w:spacing w:after="0"/>
              <w:rPr>
                <w:sz w:val="20"/>
                <w:szCs w:val="20"/>
                <w:color w:val="auto"/>
              </w:rPr>
            </w:pPr>
            <w:r>
              <w:rPr>
                <w:rFonts w:ascii="Arial" w:cs="Arial" w:eastAsia="Arial" w:hAnsi="Arial"/>
                <w:sz w:val="18"/>
                <w:szCs w:val="18"/>
                <w:color w:val="auto"/>
              </w:rPr>
              <w:t>06830</w:t>
            </w:r>
          </w:p>
        </w:tc>
      </w:tr>
      <w:tr>
        <w:trPr>
          <w:trHeight w:val="224"/>
        </w:trPr>
        <w:tc>
          <w:tcPr>
            <w:tcW w:w="4220" w:type="dxa"/>
            <w:vAlign w:val="bottom"/>
            <w:gridSpan w:val="4"/>
          </w:tcPr>
          <w:p>
            <w:pPr>
              <w:jc w:val="center"/>
              <w:ind w:left="1190"/>
              <w:spacing w:after="0"/>
              <w:rPr>
                <w:sz w:val="20"/>
                <w:szCs w:val="20"/>
                <w:color w:val="auto"/>
              </w:rPr>
            </w:pPr>
            <w:r>
              <w:rPr>
                <w:rFonts w:ascii="Arial" w:cs="Arial" w:eastAsia="Arial" w:hAnsi="Arial"/>
                <w:sz w:val="18"/>
                <w:szCs w:val="18"/>
                <w:color w:val="auto"/>
                <w:w w:val="92"/>
              </w:rPr>
              <w:t>(Address of principal executive offices)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80" w:type="dxa"/>
            <w:vAlign w:val="bottom"/>
          </w:tcPr>
          <w:p>
            <w:pPr>
              <w:jc w:val="center"/>
              <w:ind w:right="710"/>
              <w:spacing w:after="0"/>
              <w:rPr>
                <w:sz w:val="20"/>
                <w:szCs w:val="20"/>
                <w:color w:val="auto"/>
              </w:rPr>
            </w:pPr>
            <w:r>
              <w:rPr>
                <w:rFonts w:ascii="Arial" w:cs="Arial" w:eastAsia="Arial" w:hAnsi="Arial"/>
                <w:sz w:val="18"/>
                <w:szCs w:val="18"/>
                <w:color w:val="auto"/>
                <w:w w:val="93"/>
              </w:rPr>
              <w:t>(Zip code)</w:t>
            </w:r>
          </w:p>
        </w:tc>
      </w:tr>
      <w:tr>
        <w:trPr>
          <w:trHeight w:val="404"/>
        </w:trPr>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jc w:val="center"/>
              <w:ind w:right="4710"/>
              <w:spacing w:after="0"/>
              <w:rPr>
                <w:sz w:val="20"/>
                <w:szCs w:val="20"/>
                <w:color w:val="auto"/>
              </w:rPr>
            </w:pPr>
            <w:r>
              <w:rPr>
                <w:rFonts w:ascii="Arial" w:cs="Arial" w:eastAsia="Arial" w:hAnsi="Arial"/>
                <w:sz w:val="18"/>
                <w:szCs w:val="18"/>
                <w:color w:val="auto"/>
                <w:w w:val="88"/>
              </w:rPr>
              <w:t>Jonathan H. Cohen</w:t>
            </w:r>
          </w:p>
        </w:tc>
      </w:tr>
      <w:tr>
        <w:trPr>
          <w:trHeight w:val="216"/>
        </w:trPr>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gridSpan w:val="3"/>
          </w:tcPr>
          <w:p>
            <w:pPr>
              <w:jc w:val="center"/>
              <w:ind w:right="4690"/>
              <w:spacing w:after="0"/>
              <w:rPr>
                <w:sz w:val="20"/>
                <w:szCs w:val="20"/>
                <w:color w:val="auto"/>
              </w:rPr>
            </w:pPr>
            <w:r>
              <w:rPr>
                <w:rFonts w:ascii="Arial" w:cs="Arial" w:eastAsia="Arial" w:hAnsi="Arial"/>
                <w:sz w:val="18"/>
                <w:szCs w:val="18"/>
                <w:color w:val="auto"/>
                <w:w w:val="93"/>
              </w:rPr>
              <w:t>Chief Executive Officer</w:t>
            </w:r>
          </w:p>
        </w:tc>
      </w:tr>
      <w:tr>
        <w:trPr>
          <w:trHeight w:val="216"/>
        </w:trPr>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gridSpan w:val="4"/>
          </w:tcPr>
          <w:p>
            <w:pPr>
              <w:jc w:val="center"/>
              <w:ind w:right="4490"/>
              <w:spacing w:after="0"/>
              <w:rPr>
                <w:sz w:val="20"/>
                <w:szCs w:val="20"/>
                <w:color w:val="auto"/>
              </w:rPr>
            </w:pPr>
            <w:r>
              <w:rPr>
                <w:rFonts w:ascii="Arial" w:cs="Arial" w:eastAsia="Arial" w:hAnsi="Arial"/>
                <w:sz w:val="18"/>
                <w:szCs w:val="18"/>
                <w:color w:val="auto"/>
                <w:w w:val="92"/>
              </w:rPr>
              <w:t>Oxford Lane Capital Corp.</w:t>
            </w:r>
          </w:p>
        </w:tc>
      </w:tr>
      <w:tr>
        <w:trPr>
          <w:trHeight w:val="216"/>
        </w:trPr>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0" w:type="dxa"/>
            <w:vAlign w:val="bottom"/>
            <w:gridSpan w:val="5"/>
          </w:tcPr>
          <w:p>
            <w:pPr>
              <w:jc w:val="center"/>
              <w:ind w:right="4130"/>
              <w:spacing w:after="0"/>
              <w:rPr>
                <w:sz w:val="20"/>
                <w:szCs w:val="20"/>
                <w:color w:val="auto"/>
              </w:rPr>
            </w:pPr>
            <w:r>
              <w:rPr>
                <w:rFonts w:ascii="Arial" w:cs="Arial" w:eastAsia="Arial" w:hAnsi="Arial"/>
                <w:sz w:val="18"/>
                <w:szCs w:val="18"/>
                <w:color w:val="auto"/>
                <w:w w:val="90"/>
              </w:rPr>
              <w:t>8 Sound Shore Drive, Suite 255</w:t>
            </w:r>
          </w:p>
        </w:tc>
      </w:tr>
      <w:tr>
        <w:trPr>
          <w:trHeight w:val="230"/>
        </w:trPr>
        <w:tc>
          <w:tcPr>
            <w:tcW w:w="2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gridSpan w:val="3"/>
          </w:tcPr>
          <w:p>
            <w:pPr>
              <w:jc w:val="center"/>
              <w:ind w:right="4690"/>
              <w:spacing w:after="0"/>
              <w:rPr>
                <w:sz w:val="20"/>
                <w:szCs w:val="20"/>
                <w:color w:val="auto"/>
              </w:rPr>
            </w:pPr>
            <w:r>
              <w:rPr>
                <w:rFonts w:ascii="Arial" w:cs="Arial" w:eastAsia="Arial" w:hAnsi="Arial"/>
                <w:sz w:val="18"/>
                <w:szCs w:val="18"/>
                <w:color w:val="auto"/>
                <w:w w:val="91"/>
              </w:rPr>
              <w:t>Greenwich, CT 06830</w:t>
            </w:r>
          </w:p>
        </w:tc>
      </w:tr>
      <w:tr>
        <w:trPr>
          <w:trHeight w:val="224"/>
        </w:trPr>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0" w:type="dxa"/>
            <w:vAlign w:val="bottom"/>
            <w:gridSpan w:val="5"/>
          </w:tcPr>
          <w:p>
            <w:pPr>
              <w:jc w:val="center"/>
              <w:ind w:right="4110"/>
              <w:spacing w:after="0"/>
              <w:rPr>
                <w:sz w:val="20"/>
                <w:szCs w:val="20"/>
                <w:color w:val="auto"/>
              </w:rPr>
            </w:pPr>
            <w:r>
              <w:rPr>
                <w:rFonts w:ascii="Arial" w:cs="Arial" w:eastAsia="Arial" w:hAnsi="Arial"/>
                <w:sz w:val="18"/>
                <w:szCs w:val="18"/>
                <w:color w:val="auto"/>
                <w:w w:val="89"/>
              </w:rPr>
              <w:t>(Name and address of agent for service)</w:t>
            </w:r>
          </w:p>
        </w:tc>
      </w:tr>
      <w:tr>
        <w:trPr>
          <w:trHeight w:val="418"/>
        </w:trPr>
        <w:tc>
          <w:tcPr>
            <w:tcW w:w="4220" w:type="dxa"/>
            <w:vAlign w:val="bottom"/>
            <w:gridSpan w:val="4"/>
          </w:tcPr>
          <w:p>
            <w:pPr>
              <w:spacing w:after="0"/>
              <w:rPr>
                <w:sz w:val="20"/>
                <w:szCs w:val="20"/>
                <w:color w:val="auto"/>
              </w:rPr>
            </w:pPr>
            <w:r>
              <w:rPr>
                <w:rFonts w:ascii="Arial" w:cs="Arial" w:eastAsia="Arial" w:hAnsi="Arial"/>
                <w:sz w:val="18"/>
                <w:szCs w:val="18"/>
                <w:color w:val="auto"/>
              </w:rPr>
              <w:t>Registrant’s telephone number, including area code:</w:t>
            </w:r>
          </w:p>
        </w:tc>
        <w:tc>
          <w:tcPr>
            <w:tcW w:w="2520" w:type="dxa"/>
            <w:vAlign w:val="bottom"/>
            <w:gridSpan w:val="4"/>
          </w:tcPr>
          <w:p>
            <w:pPr>
              <w:jc w:val="right"/>
              <w:ind w:right="820"/>
              <w:spacing w:after="0"/>
              <w:rPr>
                <w:sz w:val="20"/>
                <w:szCs w:val="20"/>
                <w:color w:val="auto"/>
              </w:rPr>
            </w:pPr>
            <w:r>
              <w:rPr>
                <w:rFonts w:ascii="Arial" w:cs="Arial" w:eastAsia="Arial" w:hAnsi="Arial"/>
                <w:sz w:val="18"/>
                <w:szCs w:val="18"/>
                <w:color w:val="auto"/>
              </w:rPr>
              <w:t>(203) 983-5275</w:t>
            </w:r>
          </w:p>
        </w:tc>
        <w:tc>
          <w:tcPr>
            <w:tcW w:w="4680" w:type="dxa"/>
            <w:vAlign w:val="bottom"/>
          </w:tcPr>
          <w:p>
            <w:pPr>
              <w:spacing w:after="0"/>
              <w:rPr>
                <w:sz w:val="24"/>
                <w:szCs w:val="24"/>
                <w:color w:val="auto"/>
              </w:rPr>
            </w:pPr>
          </w:p>
        </w:tc>
      </w:tr>
      <w:tr>
        <w:trPr>
          <w:trHeight w:val="426"/>
        </w:trPr>
        <w:tc>
          <w:tcPr>
            <w:tcW w:w="2000" w:type="dxa"/>
            <w:vAlign w:val="bottom"/>
          </w:tcPr>
          <w:p>
            <w:pPr>
              <w:spacing w:after="0"/>
              <w:rPr>
                <w:sz w:val="20"/>
                <w:szCs w:val="20"/>
                <w:color w:val="auto"/>
              </w:rPr>
            </w:pPr>
            <w:r>
              <w:rPr>
                <w:rFonts w:ascii="Arial" w:cs="Arial" w:eastAsia="Arial" w:hAnsi="Arial"/>
                <w:sz w:val="18"/>
                <w:szCs w:val="18"/>
                <w:color w:val="auto"/>
              </w:rPr>
              <w:t>Date of fiscal year end:</w:t>
            </w:r>
          </w:p>
        </w:tc>
        <w:tc>
          <w:tcPr>
            <w:tcW w:w="300" w:type="dxa"/>
            <w:vAlign w:val="bottom"/>
          </w:tcPr>
          <w:p>
            <w:pPr>
              <w:spacing w:after="0"/>
              <w:rPr>
                <w:sz w:val="24"/>
                <w:szCs w:val="24"/>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March 31</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680" w:type="dxa"/>
            <w:vAlign w:val="bottom"/>
          </w:tcPr>
          <w:p>
            <w:pPr>
              <w:spacing w:after="0"/>
              <w:rPr>
                <w:sz w:val="24"/>
                <w:szCs w:val="24"/>
                <w:color w:val="auto"/>
              </w:rPr>
            </w:pPr>
          </w:p>
        </w:tc>
      </w:tr>
      <w:tr>
        <w:trPr>
          <w:trHeight w:val="426"/>
        </w:trPr>
        <w:tc>
          <w:tcPr>
            <w:tcW w:w="2000" w:type="dxa"/>
            <w:vAlign w:val="bottom"/>
          </w:tcPr>
          <w:p>
            <w:pPr>
              <w:spacing w:after="0"/>
              <w:rPr>
                <w:sz w:val="20"/>
                <w:szCs w:val="20"/>
                <w:color w:val="auto"/>
              </w:rPr>
            </w:pPr>
            <w:r>
              <w:rPr>
                <w:rFonts w:ascii="Arial" w:cs="Arial" w:eastAsia="Arial" w:hAnsi="Arial"/>
                <w:sz w:val="18"/>
                <w:szCs w:val="18"/>
                <w:color w:val="auto"/>
              </w:rPr>
              <w:t>Date of reporting period:</w:t>
            </w:r>
          </w:p>
        </w:tc>
        <w:tc>
          <w:tcPr>
            <w:tcW w:w="300" w:type="dxa"/>
            <w:vAlign w:val="bottom"/>
          </w:tcPr>
          <w:p>
            <w:pPr>
              <w:spacing w:after="0"/>
              <w:rPr>
                <w:sz w:val="24"/>
                <w:szCs w:val="24"/>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June 30, 2015</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669"/>
        </w:trPr>
        <w:tc>
          <w:tcPr>
            <w:tcW w:w="2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Schedule of Investments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p>
        </w:tc>
        <w:tc>
          <w:tcPr>
            <w:tcW w:w="13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346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INVESTMENT</w:t>
            </w:r>
          </w:p>
        </w:tc>
        <w:tc>
          <w:tcPr>
            <w:tcW w:w="1100" w:type="dxa"/>
            <w:vAlign w:val="bottom"/>
            <w:gridSpan w:val="3"/>
          </w:tcPr>
          <w:p>
            <w:pPr>
              <w:ind w:left="20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3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9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460" w:type="dxa"/>
            <w:vAlign w:val="bottom"/>
            <w:vMerge w:val="continue"/>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9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Debt Investments</w:t>
            </w:r>
          </w:p>
        </w:tc>
        <w:tc>
          <w:tcPr>
            <w:tcW w:w="52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3460" w:type="dxa"/>
            <w:vAlign w:val="bottom"/>
            <w:tcBorders>
              <w:top w:val="single" w:sz="8" w:color="auto"/>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Neuberger Berman CLO XIII,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64" w:lineRule="exact"/>
              <w:rPr>
                <w:sz w:val="20"/>
                <w:szCs w:val="20"/>
                <w:color w:val="auto"/>
              </w:rPr>
            </w:pPr>
            <w:r>
              <w:rPr>
                <w:rFonts w:ascii="Arial" w:cs="Arial" w:eastAsia="Arial" w:hAnsi="Arial"/>
                <w:sz w:val="12"/>
                <w:szCs w:val="12"/>
                <w:color w:val="auto"/>
              </w:rPr>
              <w:t>CLO secured notes - Class F</w:t>
            </w:r>
            <w:r>
              <w:rPr>
                <w:rFonts w:ascii="Arial" w:cs="Arial" w:eastAsia="Arial" w:hAnsi="Arial"/>
                <w:sz w:val="18"/>
                <w:szCs w:val="18"/>
                <w:color w:val="auto"/>
                <w:vertAlign w:val="superscript"/>
              </w:rPr>
              <w:t>(3)(4)(5)</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4,500,000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3,930,755</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4,117,500</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(LIBOR + 6.50%, due January 23, 2024)</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OFSI Fund VII,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secured notes - Class F</w:t>
            </w:r>
            <w:r>
              <w:rPr>
                <w:rFonts w:ascii="Arial" w:cs="Arial" w:eastAsia="Arial" w:hAnsi="Arial"/>
                <w:sz w:val="19"/>
                <w:szCs w:val="19"/>
                <w:color w:val="auto"/>
                <w:vertAlign w:val="superscript"/>
              </w:rPr>
              <w:t>(3)(4)(5)</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5,564,000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4,651,849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4,557,472</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(LIBOR + 5.65%, due October 18,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Telos CLO 2013-3,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secured notes - Class F</w:t>
            </w:r>
            <w:r>
              <w:rPr>
                <w:rFonts w:ascii="Arial" w:cs="Arial" w:eastAsia="Arial" w:hAnsi="Arial"/>
                <w:sz w:val="19"/>
                <w:szCs w:val="19"/>
                <w:color w:val="auto"/>
                <w:vertAlign w:val="superscript"/>
              </w:rPr>
              <w:t>(3)(4)(5)</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2,727,370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2,535,600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34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(LIBOR + 5.50%, due January 17, 2024)</w:t>
            </w:r>
          </w:p>
        </w:tc>
        <w:tc>
          <w:tcPr>
            <w:tcW w:w="3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7"/>
              </w:rPr>
              <w:t>Total Collateralized Loan Obligation - Debt Investments</w:t>
            </w: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11,309,974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11,210,572</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2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93"/>
              </w:rPr>
              <w:t>Collateralized Loan Obligation - Equity Investments</w:t>
            </w:r>
          </w:p>
        </w:tc>
        <w:tc>
          <w:tcPr>
            <w:tcW w:w="400" w:type="dxa"/>
            <w:vAlign w:val="bottom"/>
            <w:tcBorders>
              <w:bottom w:val="single" w:sz="8" w:color="CCEEFF"/>
            </w:tcBorders>
            <w:shd w:val="clear" w:color="auto" w:fill="CCEEFF"/>
          </w:tcPr>
          <w:p>
            <w:pPr>
              <w:spacing w:after="0"/>
              <w:rPr>
                <w:sz w:val="11"/>
                <w:szCs w:val="11"/>
                <w:color w:val="auto"/>
              </w:rPr>
            </w:pPr>
          </w:p>
        </w:tc>
        <w:tc>
          <w:tcPr>
            <w:tcW w:w="34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AIMCO CLO, Series 2014-A</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64"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8"/>
                <w:szCs w:val="18"/>
                <w:color w:val="auto"/>
                <w:vertAlign w:val="superscript"/>
              </w:rPr>
              <w:t>(4)(6)</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26,000,000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19,619,739</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18,469,391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16.22%, maturity July 20,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AMMC CLO XII,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7,178,571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4,586,617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4,737,857</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18.10%, maturity May 10, 2025)</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Ares XXV CLO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15,500,000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10,684,231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10,385,000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12.71%, maturity January 17, 2024)</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Ares XXVI CLO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7,500,000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4,829,464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4,721,800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17.91%, maturity April 15, 2025)</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Ares XXIX CLO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12,750,000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10,249,720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9,314,359</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16.30%, maturity April 17,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Battalion CLO VII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24,000,000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21,184,767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20,640,000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13.89%, maturity October 17,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Benefit Street Partners CLO IV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 xml:space="preserve">CLO preference shares </w:t>
            </w:r>
            <w:r>
              <w:rPr>
                <w:rFonts w:ascii="Arial" w:cs="Arial" w:eastAsia="Arial" w:hAnsi="Arial"/>
                <w:sz w:val="19"/>
                <w:szCs w:val="19"/>
                <w:color w:val="auto"/>
                <w:vertAlign w:val="superscript"/>
              </w:rPr>
              <w:t>(4)(6)</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10,000,000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9,250,170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8,200,000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11.80%, maturity July 20,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Benefit Street Partners CLO V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 xml:space="preserve">CLO preference shares </w:t>
            </w:r>
            <w:r>
              <w:rPr>
                <w:rFonts w:ascii="Arial" w:cs="Arial" w:eastAsia="Arial" w:hAnsi="Arial"/>
                <w:sz w:val="19"/>
                <w:szCs w:val="19"/>
                <w:color w:val="auto"/>
                <w:vertAlign w:val="superscript"/>
              </w:rPr>
              <w:t>(4)(6)</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10,000,000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8,973,999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8,400,000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13.47%, maturity October 20,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B&amp;M CLO 2014-1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1,362,612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1,440,000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21.28%, maturity April 16,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tcPr>
          <w:p>
            <w:pPr>
              <w:spacing w:after="0" w:line="130" w:lineRule="exact"/>
              <w:rPr>
                <w:sz w:val="20"/>
                <w:szCs w:val="20"/>
                <w:color w:val="auto"/>
              </w:rPr>
            </w:pPr>
            <w:r>
              <w:rPr>
                <w:rFonts w:ascii="Arial" w:cs="Arial" w:eastAsia="Arial" w:hAnsi="Arial"/>
                <w:sz w:val="14"/>
                <w:szCs w:val="14"/>
                <w:color w:val="auto"/>
                <w:w w:val="96"/>
              </w:rPr>
              <w:t>Carlyle Global Market Strategies CLO</w:t>
            </w:r>
          </w:p>
        </w:tc>
        <w:tc>
          <w:tcPr>
            <w:tcW w:w="13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30" w:lineRule="exact"/>
              <w:rPr>
                <w:sz w:val="20"/>
                <w:szCs w:val="20"/>
                <w:color w:val="auto"/>
              </w:rPr>
            </w:pPr>
            <w:r>
              <w:rPr>
                <w:rFonts w:ascii="Arial" w:cs="Arial" w:eastAsia="Arial" w:hAnsi="Arial"/>
                <w:sz w:val="14"/>
                <w:szCs w:val="14"/>
                <w:color w:val="auto"/>
              </w:rPr>
              <w:t>CLO subordinated notes(4)(6)</w:t>
            </w:r>
          </w:p>
        </w:tc>
        <w:tc>
          <w:tcPr>
            <w:tcW w:w="300" w:type="dxa"/>
            <w:vAlign w:val="bottom"/>
          </w:tcPr>
          <w:p>
            <w:pPr>
              <w:spacing w:after="0"/>
              <w:rPr>
                <w:sz w:val="11"/>
                <w:szCs w:val="11"/>
                <w:color w:val="auto"/>
              </w:rPr>
            </w:pP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10,125,000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7,069,901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7,900,665</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2013-2, Ltd.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22.17%, maturity April 18, 2025)</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tcPr>
          <w:p>
            <w:pPr>
              <w:spacing w:after="0" w:line="130" w:lineRule="exact"/>
              <w:rPr>
                <w:sz w:val="20"/>
                <w:szCs w:val="20"/>
                <w:color w:val="auto"/>
              </w:rPr>
            </w:pPr>
            <w:r>
              <w:rPr>
                <w:rFonts w:ascii="Arial" w:cs="Arial" w:eastAsia="Arial" w:hAnsi="Arial"/>
                <w:sz w:val="14"/>
                <w:szCs w:val="14"/>
                <w:color w:val="auto"/>
                <w:w w:val="96"/>
              </w:rPr>
              <w:t>Carlyle Global Market Strategies CLO</w:t>
            </w:r>
          </w:p>
        </w:tc>
        <w:tc>
          <w:tcPr>
            <w:tcW w:w="13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30" w:lineRule="exact"/>
              <w:rPr>
                <w:sz w:val="20"/>
                <w:szCs w:val="20"/>
                <w:color w:val="auto"/>
              </w:rPr>
            </w:pPr>
            <w:r>
              <w:rPr>
                <w:rFonts w:ascii="Arial" w:cs="Arial" w:eastAsia="Arial" w:hAnsi="Arial"/>
                <w:sz w:val="14"/>
                <w:szCs w:val="14"/>
                <w:color w:val="auto"/>
              </w:rPr>
              <w:t>CLO subordinated notes(4)(6)</w:t>
            </w:r>
          </w:p>
        </w:tc>
        <w:tc>
          <w:tcPr>
            <w:tcW w:w="300" w:type="dxa"/>
            <w:vAlign w:val="bottom"/>
          </w:tcPr>
          <w:p>
            <w:pPr>
              <w:spacing w:after="0"/>
              <w:rPr>
                <w:sz w:val="11"/>
                <w:szCs w:val="11"/>
                <w:color w:val="auto"/>
              </w:rPr>
            </w:pP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4,129,810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4,300,000</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2015-1, Ltd.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14.00%, maturity April 20, 2027)</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Cedar Funding III CLO,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25,000,000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19,821,163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17,250,000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11.42%, maturity May 20,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Catamaran CLO 2015-1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(4)(6)(8)</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27,348,000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22,085,590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22,097,184</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16.66%, maturity April 22, 2027)</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Hull Street CLO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15,000,000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13,411,799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12,450,000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16.15%, maturity October 18,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Ivy Hill Middle Market Credit VII,</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62"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8"/>
                <w:szCs w:val="18"/>
                <w:color w:val="auto"/>
                <w:vertAlign w:val="superscript"/>
              </w:rPr>
              <w:t>(4)(6)</w:t>
            </w:r>
          </w:p>
        </w:tc>
        <w:tc>
          <w:tcPr>
            <w:tcW w:w="300" w:type="dxa"/>
            <w:vAlign w:val="bottom"/>
          </w:tcPr>
          <w:p>
            <w:pPr>
              <w:spacing w:after="0"/>
              <w:rPr>
                <w:sz w:val="14"/>
                <w:szCs w:val="14"/>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7,000,000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6,031,831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5,942,400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00" w:type="dxa"/>
            <w:vAlign w:val="bottom"/>
            <w:gridSpan w:val="2"/>
          </w:tcPr>
          <w:p>
            <w:pPr>
              <w:spacing w:after="0"/>
              <w:rPr>
                <w:sz w:val="20"/>
                <w:szCs w:val="20"/>
                <w:color w:val="auto"/>
              </w:rPr>
            </w:pPr>
            <w:r>
              <w:rPr>
                <w:rFonts w:ascii="Arial" w:cs="Arial" w:eastAsia="Arial" w:hAnsi="Arial"/>
                <w:sz w:val="14"/>
                <w:szCs w:val="14"/>
                <w:color w:val="auto"/>
              </w:rPr>
              <w:t>Ltd.</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60" w:type="dxa"/>
            <w:vAlign w:val="bottom"/>
            <w:vMerge w:val="restart"/>
          </w:tcPr>
          <w:p>
            <w:pPr>
              <w:ind w:left="180"/>
              <w:spacing w:after="0"/>
              <w:rPr>
                <w:sz w:val="20"/>
                <w:szCs w:val="20"/>
                <w:color w:val="auto"/>
              </w:rPr>
            </w:pPr>
            <w:r>
              <w:rPr>
                <w:rFonts w:ascii="Arial" w:cs="Arial" w:eastAsia="Arial" w:hAnsi="Arial"/>
                <w:sz w:val="14"/>
                <w:szCs w:val="14"/>
                <w:color w:val="auto"/>
              </w:rPr>
              <w:t>(Estimated yield 16.34%, maturity October 20, 2025)</w:t>
            </w:r>
          </w:p>
        </w:tc>
        <w:tc>
          <w:tcPr>
            <w:tcW w:w="3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Longfellow Place CLO IX,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2,562,000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1,490,419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1,548,027</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23.39%, maturity January 15, 2024)</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p>
        </w:tc>
        <w:tc>
          <w:tcPr>
            <w:tcW w:w="14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INDUSTRY</w:t>
            </w:r>
          </w:p>
        </w:tc>
        <w:tc>
          <w:tcPr>
            <w:tcW w:w="440" w:type="dxa"/>
            <w:vAlign w:val="bottom"/>
          </w:tcPr>
          <w:p>
            <w:pPr>
              <w:spacing w:after="0"/>
              <w:rPr>
                <w:sz w:val="14"/>
                <w:szCs w:val="14"/>
                <w:color w:val="auto"/>
              </w:rPr>
            </w:pPr>
          </w:p>
        </w:tc>
        <w:tc>
          <w:tcPr>
            <w:tcW w:w="312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18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Borders>
              <w:top w:val="single" w:sz="8" w:color="auto"/>
            </w:tcBorders>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Collateralized Loan Obligation - Equity Investments - (continued)</w:t>
            </w: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tcBorders>
              <w:top w:val="single" w:sz="8" w:color="auto"/>
            </w:tcBorders>
          </w:tcPr>
          <w:p>
            <w:pPr>
              <w:spacing w:after="0" w:line="144" w:lineRule="exact"/>
              <w:rPr>
                <w:sz w:val="20"/>
                <w:szCs w:val="20"/>
                <w:color w:val="auto"/>
              </w:rPr>
            </w:pPr>
            <w:r>
              <w:rPr>
                <w:rFonts w:ascii="Arial" w:cs="Arial" w:eastAsia="Arial" w:hAnsi="Arial"/>
                <w:sz w:val="14"/>
                <w:szCs w:val="14"/>
                <w:color w:val="auto"/>
              </w:rPr>
              <w:t>Mountain Hawk II CLO, Ltd.</w:t>
            </w:r>
          </w:p>
        </w:tc>
        <w:tc>
          <w:tcPr>
            <w:tcW w:w="1440" w:type="dxa"/>
            <w:vAlign w:val="bottom"/>
            <w:tcBorders>
              <w:top w:val="single" w:sz="8" w:color="auto"/>
            </w:tcBorders>
          </w:tcPr>
          <w:p>
            <w:pPr>
              <w:ind w:left="180"/>
              <w:spacing w:after="0" w:line="144" w:lineRule="exact"/>
              <w:rPr>
                <w:sz w:val="20"/>
                <w:szCs w:val="20"/>
                <w:color w:val="auto"/>
              </w:rPr>
            </w:pPr>
            <w:r>
              <w:rPr>
                <w:rFonts w:ascii="Arial" w:cs="Arial" w:eastAsia="Arial" w:hAnsi="Arial"/>
                <w:sz w:val="14"/>
                <w:szCs w:val="14"/>
                <w:color w:val="auto"/>
              </w:rPr>
              <w:t>structured finance</w:t>
            </w:r>
          </w:p>
        </w:tc>
        <w:tc>
          <w:tcPr>
            <w:tcW w:w="440" w:type="dxa"/>
            <w:vAlign w:val="bottom"/>
            <w:tcBorders>
              <w:top w:val="single" w:sz="8" w:color="auto"/>
            </w:tcBorders>
          </w:tcPr>
          <w:p>
            <w:pPr>
              <w:ind w:left="220"/>
              <w:spacing w:after="0" w:line="144" w:lineRule="exact"/>
              <w:rPr>
                <w:sz w:val="20"/>
                <w:szCs w:val="20"/>
                <w:color w:val="auto"/>
              </w:rPr>
            </w:pPr>
            <w:r>
              <w:rPr>
                <w:rFonts w:ascii="Arial" w:cs="Arial" w:eastAsia="Arial" w:hAnsi="Arial"/>
                <w:sz w:val="13"/>
                <w:szCs w:val="13"/>
                <w:color w:val="auto"/>
                <w:w w:val="74"/>
              </w:rPr>
              <w:t>CLO</w:t>
            </w:r>
          </w:p>
        </w:tc>
        <w:tc>
          <w:tcPr>
            <w:tcW w:w="3120" w:type="dxa"/>
            <w:vAlign w:val="bottom"/>
            <w:tcBorders>
              <w:top w:val="single" w:sz="8" w:color="CCEEFF"/>
            </w:tcBorders>
          </w:tcPr>
          <w:p>
            <w:pPr>
              <w:ind w:left="100"/>
              <w:spacing w:after="0" w:line="144" w:lineRule="exact"/>
              <w:rPr>
                <w:sz w:val="20"/>
                <w:szCs w:val="20"/>
                <w:color w:val="auto"/>
              </w:rPr>
            </w:pPr>
            <w:r>
              <w:rPr>
                <w:rFonts w:ascii="Arial" w:cs="Arial" w:eastAsia="Arial" w:hAnsi="Arial"/>
                <w:sz w:val="11"/>
                <w:szCs w:val="11"/>
                <w:color w:val="auto"/>
              </w:rPr>
              <w:t>subordinated notes</w:t>
            </w:r>
            <w:r>
              <w:rPr>
                <w:rFonts w:ascii="Arial" w:cs="Arial" w:eastAsia="Arial" w:hAnsi="Arial"/>
                <w:sz w:val="16"/>
                <w:szCs w:val="16"/>
                <w:color w:val="auto"/>
                <w:vertAlign w:val="superscript"/>
              </w:rPr>
              <w:t>(4)(6)</w:t>
            </w:r>
          </w:p>
        </w:tc>
        <w:tc>
          <w:tcPr>
            <w:tcW w:w="920" w:type="dxa"/>
            <w:vAlign w:val="bottom"/>
            <w:tcBorders>
              <w:top w:val="single" w:sz="8" w:color="CCEEFF"/>
            </w:tcBorders>
          </w:tcPr>
          <w:p>
            <w:pPr>
              <w:jc w:val="right"/>
              <w:spacing w:after="0" w:line="144" w:lineRule="exact"/>
              <w:rPr>
                <w:sz w:val="20"/>
                <w:szCs w:val="20"/>
                <w:color w:val="auto"/>
              </w:rPr>
            </w:pPr>
            <w:r>
              <w:rPr>
                <w:rFonts w:ascii="Arial" w:cs="Arial" w:eastAsia="Arial" w:hAnsi="Arial"/>
                <w:sz w:val="14"/>
                <w:szCs w:val="14"/>
                <w:color w:val="auto"/>
              </w:rPr>
              <w:t>$ 10,000,000</w:t>
            </w:r>
          </w:p>
        </w:tc>
        <w:tc>
          <w:tcPr>
            <w:tcW w:w="2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jc w:val="right"/>
              <w:spacing w:after="0" w:line="144" w:lineRule="exact"/>
              <w:rPr>
                <w:sz w:val="20"/>
                <w:szCs w:val="20"/>
                <w:color w:val="auto"/>
              </w:rPr>
            </w:pPr>
            <w:r>
              <w:rPr>
                <w:rFonts w:ascii="Arial" w:cs="Arial" w:eastAsia="Arial" w:hAnsi="Arial"/>
                <w:sz w:val="14"/>
                <w:szCs w:val="14"/>
                <w:color w:val="auto"/>
                <w:w w:val="97"/>
              </w:rPr>
              <w:t>$  9,592,687</w:t>
            </w: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line="144"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CCEEFF"/>
            </w:tcBorders>
            <w:gridSpan w:val="2"/>
          </w:tcPr>
          <w:p>
            <w:pPr>
              <w:jc w:val="right"/>
              <w:ind w:right="200"/>
              <w:spacing w:after="0" w:line="144" w:lineRule="exact"/>
              <w:rPr>
                <w:sz w:val="20"/>
                <w:szCs w:val="20"/>
                <w:color w:val="auto"/>
              </w:rPr>
            </w:pPr>
            <w:r>
              <w:rPr>
                <w:rFonts w:ascii="Arial" w:cs="Arial" w:eastAsia="Arial" w:hAnsi="Arial"/>
                <w:sz w:val="14"/>
                <w:szCs w:val="14"/>
                <w:color w:val="auto"/>
              </w:rPr>
              <w:t>8,570,000</w:t>
            </w:r>
          </w:p>
        </w:tc>
        <w:tc>
          <w:tcPr>
            <w:tcW w:w="8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14.26%, maturity July 20, 2024)</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Mountain Hawk III CLO,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income notes</w:t>
            </w:r>
            <w:r>
              <w:rPr>
                <w:rFonts w:ascii="Arial" w:cs="Arial" w:eastAsia="Arial" w:hAnsi="Arial"/>
                <w:sz w:val="19"/>
                <w:szCs w:val="19"/>
                <w:color w:val="auto"/>
                <w:vertAlign w:val="superscript"/>
              </w:rPr>
              <w:t>(4)(6)</w:t>
            </w:r>
          </w:p>
        </w:tc>
        <w:tc>
          <w:tcPr>
            <w:tcW w:w="920" w:type="dxa"/>
            <w:vAlign w:val="bottom"/>
          </w:tcPr>
          <w:p>
            <w:pPr>
              <w:jc w:val="right"/>
              <w:spacing w:after="0"/>
              <w:rPr>
                <w:sz w:val="20"/>
                <w:szCs w:val="20"/>
                <w:color w:val="auto"/>
              </w:rPr>
            </w:pPr>
            <w:r>
              <w:rPr>
                <w:rFonts w:ascii="Arial" w:cs="Arial" w:eastAsia="Arial" w:hAnsi="Arial"/>
                <w:sz w:val="14"/>
                <w:szCs w:val="14"/>
                <w:color w:val="auto"/>
              </w:rPr>
              <w:t>15,000,000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12,516,191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10,242,820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13.66%, maturity April 18, 2025)</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M notes</w:t>
            </w:r>
            <w:r>
              <w:rPr>
                <w:rFonts w:ascii="Arial" w:cs="Arial" w:eastAsia="Arial" w:hAnsi="Arial"/>
                <w:sz w:val="19"/>
                <w:szCs w:val="19"/>
                <w:color w:val="auto"/>
                <w:vertAlign w:val="superscript"/>
              </w:rPr>
              <w:t>(7)</w:t>
            </w:r>
          </w:p>
        </w:tc>
        <w:tc>
          <w:tcPr>
            <w:tcW w:w="920" w:type="dxa"/>
            <w:vAlign w:val="bottom"/>
          </w:tcPr>
          <w:p>
            <w:pPr>
              <w:jc w:val="right"/>
              <w:spacing w:after="0"/>
              <w:rPr>
                <w:sz w:val="20"/>
                <w:szCs w:val="20"/>
                <w:color w:val="auto"/>
              </w:rPr>
            </w:pPr>
            <w:r>
              <w:rPr>
                <w:rFonts w:ascii="Arial" w:cs="Arial" w:eastAsia="Arial" w:hAnsi="Arial"/>
                <w:sz w:val="14"/>
                <w:szCs w:val="14"/>
                <w:color w:val="auto"/>
              </w:rPr>
              <w:t>2,389,676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554,219</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(Maturity April 18, 2025)</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Neuberger Berman CLO XIII,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920" w:type="dxa"/>
            <w:vAlign w:val="bottom"/>
          </w:tcPr>
          <w:p>
            <w:pPr>
              <w:jc w:val="right"/>
              <w:spacing w:after="0"/>
              <w:rPr>
                <w:sz w:val="20"/>
                <w:szCs w:val="20"/>
                <w:color w:val="auto"/>
              </w:rPr>
            </w:pPr>
            <w:r>
              <w:rPr>
                <w:rFonts w:ascii="Arial" w:cs="Arial" w:eastAsia="Arial" w:hAnsi="Arial"/>
                <w:sz w:val="14"/>
                <w:szCs w:val="14"/>
                <w:color w:val="auto"/>
              </w:rPr>
              <w:t>6,255,000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3,309,910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3,064,950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14.68%, maturity January 23, 2024)</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OFSI Fund VII,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920" w:type="dxa"/>
            <w:vAlign w:val="bottom"/>
          </w:tcPr>
          <w:p>
            <w:pPr>
              <w:jc w:val="right"/>
              <w:spacing w:after="0"/>
              <w:rPr>
                <w:sz w:val="20"/>
                <w:szCs w:val="20"/>
                <w:color w:val="auto"/>
              </w:rPr>
            </w:pPr>
            <w:r>
              <w:rPr>
                <w:rFonts w:ascii="Arial" w:cs="Arial" w:eastAsia="Arial" w:hAnsi="Arial"/>
                <w:sz w:val="14"/>
                <w:szCs w:val="14"/>
                <w:color w:val="auto"/>
              </w:rPr>
              <w:t>28,840,000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23,056,064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20,966,255</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18.91%, maturity October 18, 2026)</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OZLM XIV,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(4)(6)(9)</w:t>
            </w:r>
          </w:p>
        </w:tc>
        <w:tc>
          <w:tcPr>
            <w:tcW w:w="92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10,000,000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w w:val="97"/>
              </w:rPr>
              <w:t>(Estimated yield 14.00%, maturity December 19, 2016)</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OZLM VII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920" w:type="dxa"/>
            <w:vAlign w:val="bottom"/>
          </w:tcPr>
          <w:p>
            <w:pPr>
              <w:jc w:val="right"/>
              <w:spacing w:after="0"/>
              <w:rPr>
                <w:sz w:val="20"/>
                <w:szCs w:val="20"/>
                <w:color w:val="auto"/>
              </w:rPr>
            </w:pPr>
            <w:r>
              <w:rPr>
                <w:rFonts w:ascii="Arial" w:cs="Arial" w:eastAsia="Arial" w:hAnsi="Arial"/>
                <w:sz w:val="14"/>
                <w:szCs w:val="14"/>
                <w:color w:val="auto"/>
              </w:rPr>
              <w:t>20,000,000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16,186,008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16,256,064</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17.08%, maturity July 17, 2026)</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Parallel 2015-1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(4)(6)(8)</w:t>
            </w:r>
          </w:p>
        </w:tc>
        <w:tc>
          <w:tcPr>
            <w:tcW w:w="920" w:type="dxa"/>
            <w:vAlign w:val="bottom"/>
          </w:tcPr>
          <w:p>
            <w:pPr>
              <w:jc w:val="right"/>
              <w:spacing w:after="0"/>
              <w:rPr>
                <w:sz w:val="20"/>
                <w:szCs w:val="20"/>
                <w:color w:val="auto"/>
              </w:rPr>
            </w:pPr>
            <w:r>
              <w:rPr>
                <w:rFonts w:ascii="Arial" w:cs="Arial" w:eastAsia="Arial" w:hAnsi="Arial"/>
                <w:sz w:val="14"/>
                <w:szCs w:val="14"/>
                <w:color w:val="auto"/>
              </w:rPr>
              <w:t>7,750,000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6,196,961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6,064,375</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19.00%, maturity July 20, 2027)</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Seneca Park CLO,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920" w:type="dxa"/>
            <w:vAlign w:val="bottom"/>
          </w:tcPr>
          <w:p>
            <w:pPr>
              <w:jc w:val="right"/>
              <w:spacing w:after="0"/>
              <w:rPr>
                <w:sz w:val="20"/>
                <w:szCs w:val="20"/>
                <w:color w:val="auto"/>
              </w:rPr>
            </w:pPr>
            <w:r>
              <w:rPr>
                <w:rFonts w:ascii="Arial" w:cs="Arial" w:eastAsia="Arial" w:hAnsi="Arial"/>
                <w:sz w:val="14"/>
                <w:szCs w:val="14"/>
                <w:color w:val="auto"/>
              </w:rPr>
              <w:t>32,000,000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26,773,165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26,987,779</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16.53%, maturity July 17, 2026)</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Shackleton II CLO,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income notes</w:t>
            </w:r>
            <w:r>
              <w:rPr>
                <w:rFonts w:ascii="Arial" w:cs="Arial" w:eastAsia="Arial" w:hAnsi="Arial"/>
                <w:sz w:val="19"/>
                <w:szCs w:val="19"/>
                <w:color w:val="auto"/>
                <w:vertAlign w:val="superscript"/>
              </w:rPr>
              <w:t>(4)(6)</w:t>
            </w:r>
          </w:p>
        </w:tc>
        <w:tc>
          <w:tcPr>
            <w:tcW w:w="92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8,328,458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7,360,000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10.95%, maturity October 20, 2023)</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Sound Point CLO VIII,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920" w:type="dxa"/>
            <w:vAlign w:val="bottom"/>
          </w:tcPr>
          <w:p>
            <w:pPr>
              <w:jc w:val="right"/>
              <w:spacing w:after="0"/>
              <w:rPr>
                <w:sz w:val="20"/>
                <w:szCs w:val="20"/>
                <w:color w:val="auto"/>
              </w:rPr>
            </w:pPr>
            <w:r>
              <w:rPr>
                <w:rFonts w:ascii="Arial" w:cs="Arial" w:eastAsia="Arial" w:hAnsi="Arial"/>
                <w:sz w:val="14"/>
                <w:szCs w:val="14"/>
                <w:color w:val="auto"/>
              </w:rPr>
              <w:t>5,000,000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3,985,157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3,990,173</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16.51%, maturity April 15, 2027)</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F notes</w:t>
            </w:r>
            <w:r>
              <w:rPr>
                <w:rFonts w:ascii="Arial" w:cs="Arial" w:eastAsia="Arial" w:hAnsi="Arial"/>
                <w:sz w:val="19"/>
                <w:szCs w:val="19"/>
                <w:color w:val="auto"/>
                <w:vertAlign w:val="superscript"/>
              </w:rPr>
              <w:t>(7)</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224,719</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202,247</w:t>
            </w: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229,889</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(Maturity April 15, 2027)</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Sound Point CLO IX,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(4)(6)(8)</w:t>
            </w:r>
          </w:p>
        </w:tc>
        <w:tc>
          <w:tcPr>
            <w:tcW w:w="92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8,249,065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8,650,000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18.20%, maturity July 20, 2027)</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Telos CLO 2013-3,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920" w:type="dxa"/>
            <w:vAlign w:val="bottom"/>
          </w:tcPr>
          <w:p>
            <w:pPr>
              <w:jc w:val="right"/>
              <w:spacing w:after="0"/>
              <w:rPr>
                <w:sz w:val="20"/>
                <w:szCs w:val="20"/>
                <w:color w:val="auto"/>
              </w:rPr>
            </w:pPr>
            <w:r>
              <w:rPr>
                <w:rFonts w:ascii="Arial" w:cs="Arial" w:eastAsia="Arial" w:hAnsi="Arial"/>
                <w:sz w:val="14"/>
                <w:szCs w:val="14"/>
                <w:color w:val="auto"/>
              </w:rPr>
              <w:t>13,333,334</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10,100,602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10,133,334</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17.25%, maturity January 17, 2024)</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Telos CLO 2013-4,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920" w:type="dxa"/>
            <w:vAlign w:val="bottom"/>
          </w:tcPr>
          <w:p>
            <w:pPr>
              <w:jc w:val="right"/>
              <w:spacing w:after="0"/>
              <w:rPr>
                <w:sz w:val="20"/>
                <w:szCs w:val="20"/>
                <w:color w:val="auto"/>
              </w:rPr>
            </w:pPr>
            <w:r>
              <w:rPr>
                <w:rFonts w:ascii="Arial" w:cs="Arial" w:eastAsia="Arial" w:hAnsi="Arial"/>
                <w:sz w:val="14"/>
                <w:szCs w:val="14"/>
                <w:color w:val="auto"/>
              </w:rPr>
              <w:t>8,700,000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6,023,145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6,595,456</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22.55%, maturity July 17, 2024)</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TICP CLO IV,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(4)(6)(8)</w:t>
            </w:r>
          </w:p>
        </w:tc>
        <w:tc>
          <w:tcPr>
            <w:tcW w:w="920" w:type="dxa"/>
            <w:vAlign w:val="bottom"/>
          </w:tcPr>
          <w:p>
            <w:pPr>
              <w:jc w:val="right"/>
              <w:spacing w:after="0"/>
              <w:rPr>
                <w:sz w:val="20"/>
                <w:szCs w:val="20"/>
                <w:color w:val="auto"/>
              </w:rPr>
            </w:pPr>
            <w:r>
              <w:rPr>
                <w:rFonts w:ascii="Arial" w:cs="Arial" w:eastAsia="Arial" w:hAnsi="Arial"/>
                <w:sz w:val="14"/>
                <w:szCs w:val="14"/>
                <w:color w:val="auto"/>
              </w:rPr>
              <w:t>19,750,000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16,200,990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15,839,500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16.84%, maturity July 20, 2027)</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Venture XIII, CLO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920" w:type="dxa"/>
            <w:vAlign w:val="bottom"/>
          </w:tcPr>
          <w:p>
            <w:pPr>
              <w:jc w:val="right"/>
              <w:spacing w:after="0"/>
              <w:rPr>
                <w:sz w:val="20"/>
                <w:szCs w:val="20"/>
                <w:color w:val="auto"/>
              </w:rPr>
            </w:pPr>
            <w:r>
              <w:rPr>
                <w:rFonts w:ascii="Arial" w:cs="Arial" w:eastAsia="Arial" w:hAnsi="Arial"/>
                <w:sz w:val="14"/>
                <w:szCs w:val="14"/>
                <w:color w:val="auto"/>
              </w:rPr>
              <w:t>8,500,000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6,371,504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6,842,500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19.45%, maturity June 10, 2025)</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Venture XVI CLO,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920" w:type="dxa"/>
            <w:vAlign w:val="bottom"/>
          </w:tcPr>
          <w:p>
            <w:pPr>
              <w:jc w:val="right"/>
              <w:spacing w:after="0"/>
              <w:rPr>
                <w:sz w:val="20"/>
                <w:szCs w:val="20"/>
                <w:color w:val="auto"/>
              </w:rPr>
            </w:pPr>
            <w:r>
              <w:rPr>
                <w:rFonts w:ascii="Arial" w:cs="Arial" w:eastAsia="Arial" w:hAnsi="Arial"/>
                <w:sz w:val="14"/>
                <w:szCs w:val="14"/>
                <w:color w:val="auto"/>
              </w:rPr>
              <w:t>15,000,000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12,550,976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12,648,501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18.17%, maturity April 15, 2026)</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Venture XVII CLO,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56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920" w:type="dxa"/>
            <w:vAlign w:val="bottom"/>
          </w:tcPr>
          <w:p>
            <w:pPr>
              <w:jc w:val="right"/>
              <w:spacing w:after="0"/>
              <w:rPr>
                <w:sz w:val="20"/>
                <w:szCs w:val="20"/>
                <w:color w:val="auto"/>
              </w:rPr>
            </w:pPr>
            <w:r>
              <w:rPr>
                <w:rFonts w:ascii="Arial" w:cs="Arial" w:eastAsia="Arial" w:hAnsi="Arial"/>
                <w:sz w:val="14"/>
                <w:szCs w:val="14"/>
                <w:color w:val="auto"/>
              </w:rPr>
              <w:t>9,000,000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7,404,217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7,375,764</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560" w:type="dxa"/>
            <w:vAlign w:val="bottom"/>
            <w:gridSpan w:val="2"/>
          </w:tcPr>
          <w:p>
            <w:pPr>
              <w:ind w:left="220"/>
              <w:spacing w:after="0"/>
              <w:rPr>
                <w:sz w:val="20"/>
                <w:szCs w:val="20"/>
                <w:color w:val="auto"/>
              </w:rPr>
            </w:pPr>
            <w:r>
              <w:rPr>
                <w:rFonts w:ascii="Arial" w:cs="Arial" w:eastAsia="Arial" w:hAnsi="Arial"/>
                <w:sz w:val="14"/>
                <w:szCs w:val="14"/>
                <w:color w:val="auto"/>
              </w:rPr>
              <w:t>(Estimated yield 17.65%, maturity July 15, 2026)</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p>
        </w:tc>
        <w:tc>
          <w:tcPr>
            <w:tcW w:w="14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380" w:type="dxa"/>
            <w:vAlign w:val="bottom"/>
          </w:tcPr>
          <w:p>
            <w:pPr>
              <w:spacing w:after="0"/>
              <w:rPr>
                <w:sz w:val="14"/>
                <w:szCs w:val="14"/>
                <w:color w:val="auto"/>
              </w:rPr>
            </w:pPr>
          </w:p>
        </w:tc>
        <w:tc>
          <w:tcPr>
            <w:tcW w:w="308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INVESTMENT</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2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120" w:type="dxa"/>
            <w:vAlign w:val="bottom"/>
          </w:tcPr>
          <w:p>
            <w:pPr>
              <w:spacing w:after="0"/>
              <w:rPr>
                <w:sz w:val="14"/>
                <w:szCs w:val="14"/>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26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Borders>
              <w:top w:val="single" w:sz="8" w:color="auto"/>
              <w:bottom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30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Venture XVIII CLO, Ltd.</w:t>
            </w:r>
          </w:p>
        </w:tc>
        <w:tc>
          <w:tcPr>
            <w:tcW w:w="1420" w:type="dxa"/>
            <w:vAlign w:val="bottom"/>
          </w:tcPr>
          <w:p>
            <w:pPr>
              <w:ind w:left="80"/>
              <w:spacing w:after="0"/>
              <w:rPr>
                <w:sz w:val="20"/>
                <w:szCs w:val="20"/>
                <w:color w:val="auto"/>
              </w:rPr>
            </w:pPr>
            <w:r>
              <w:rPr>
                <w:rFonts w:ascii="Arial" w:cs="Arial" w:eastAsia="Arial" w:hAnsi="Arial"/>
                <w:sz w:val="14"/>
                <w:szCs w:val="14"/>
                <w:color w:val="auto"/>
              </w:rPr>
              <w:t>structured finance</w:t>
            </w:r>
          </w:p>
        </w:tc>
        <w:tc>
          <w:tcPr>
            <w:tcW w:w="3460" w:type="dxa"/>
            <w:vAlign w:val="bottom"/>
            <w:gridSpan w:val="2"/>
          </w:tcPr>
          <w:p>
            <w:pPr>
              <w:ind w:left="100"/>
              <w:spacing w:after="0" w:line="164"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8"/>
                <w:szCs w:val="18"/>
                <w:color w:val="auto"/>
                <w:vertAlign w:val="superscript"/>
              </w:rPr>
              <w:t>(4)(6)</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  7,000,000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5,876,711</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5,814,329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60" w:type="dxa"/>
            <w:vAlign w:val="bottom"/>
            <w:gridSpan w:val="2"/>
          </w:tcPr>
          <w:p>
            <w:pPr>
              <w:ind w:left="100"/>
              <w:spacing w:after="0"/>
              <w:rPr>
                <w:sz w:val="20"/>
                <w:szCs w:val="20"/>
                <w:color w:val="auto"/>
              </w:rPr>
            </w:pPr>
            <w:r>
              <w:rPr>
                <w:rFonts w:ascii="Arial" w:cs="Arial" w:eastAsia="Arial" w:hAnsi="Arial"/>
                <w:sz w:val="14"/>
                <w:szCs w:val="14"/>
                <w:color w:val="auto"/>
              </w:rPr>
              <w:t>(Estimated yield 16.74%, maturity October 15, 2026)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Arial" w:cs="Arial" w:eastAsia="Arial" w:hAnsi="Arial"/>
                <w:sz w:val="14"/>
                <w:szCs w:val="14"/>
                <w:color w:val="auto"/>
              </w:rPr>
              <w:t>structured finance</w:t>
            </w:r>
          </w:p>
        </w:tc>
        <w:tc>
          <w:tcPr>
            <w:tcW w:w="3460" w:type="dxa"/>
            <w:vAlign w:val="bottom"/>
            <w:gridSpan w:val="2"/>
          </w:tcPr>
          <w:p>
            <w:pPr>
              <w:ind w:left="100"/>
              <w:spacing w:after="0" w:line="171" w:lineRule="exact"/>
              <w:rPr>
                <w:sz w:val="20"/>
                <w:szCs w:val="20"/>
                <w:color w:val="auto"/>
              </w:rPr>
            </w:pPr>
            <w:r>
              <w:rPr>
                <w:rFonts w:ascii="Arial" w:cs="Arial" w:eastAsia="Arial" w:hAnsi="Arial"/>
                <w:sz w:val="12"/>
                <w:szCs w:val="12"/>
                <w:color w:val="auto"/>
              </w:rPr>
              <w:t>CLO subordinated F notes</w:t>
            </w:r>
            <w:r>
              <w:rPr>
                <w:rFonts w:ascii="Arial" w:cs="Arial" w:eastAsia="Arial" w:hAnsi="Arial"/>
                <w:sz w:val="19"/>
                <w:szCs w:val="19"/>
                <w:color w:val="auto"/>
                <w:vertAlign w:val="superscript"/>
              </w:rPr>
              <w:t>(7)</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357,055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337,249</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60" w:type="dxa"/>
            <w:vAlign w:val="bottom"/>
            <w:gridSpan w:val="2"/>
          </w:tcPr>
          <w:p>
            <w:pPr>
              <w:ind w:left="100"/>
              <w:spacing w:after="0"/>
              <w:rPr>
                <w:sz w:val="20"/>
                <w:szCs w:val="20"/>
                <w:color w:val="auto"/>
              </w:rPr>
            </w:pPr>
            <w:r>
              <w:rPr>
                <w:rFonts w:ascii="Arial" w:cs="Arial" w:eastAsia="Arial" w:hAnsi="Arial"/>
                <w:sz w:val="14"/>
                <w:szCs w:val="14"/>
                <w:color w:val="auto"/>
              </w:rPr>
              <w:t>(Maturity October 15, 2026)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Wind River 2014-3 CLO Ltd.</w:t>
            </w:r>
          </w:p>
        </w:tc>
        <w:tc>
          <w:tcPr>
            <w:tcW w:w="1420" w:type="dxa"/>
            <w:vAlign w:val="bottom"/>
          </w:tcPr>
          <w:p>
            <w:pPr>
              <w:ind w:left="80"/>
              <w:spacing w:after="0"/>
              <w:rPr>
                <w:sz w:val="20"/>
                <w:szCs w:val="20"/>
                <w:color w:val="auto"/>
              </w:rPr>
            </w:pPr>
            <w:r>
              <w:rPr>
                <w:rFonts w:ascii="Arial" w:cs="Arial" w:eastAsia="Arial" w:hAnsi="Arial"/>
                <w:sz w:val="14"/>
                <w:szCs w:val="14"/>
                <w:color w:val="auto"/>
              </w:rPr>
              <w:t>structured finance</w:t>
            </w:r>
          </w:p>
        </w:tc>
        <w:tc>
          <w:tcPr>
            <w:tcW w:w="3460" w:type="dxa"/>
            <w:vAlign w:val="bottom"/>
            <w:gridSpan w:val="2"/>
          </w:tcPr>
          <w:p>
            <w:pPr>
              <w:ind w:left="1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(4)(6)</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22,930,000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21,209,777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21,554,200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60" w:type="dxa"/>
            <w:vAlign w:val="bottom"/>
            <w:gridSpan w:val="2"/>
          </w:tcPr>
          <w:p>
            <w:pPr>
              <w:ind w:left="100"/>
              <w:spacing w:after="0"/>
              <w:rPr>
                <w:sz w:val="20"/>
                <w:szCs w:val="20"/>
                <w:color w:val="auto"/>
              </w:rPr>
            </w:pPr>
            <w:r>
              <w:rPr>
                <w:rFonts w:ascii="Arial" w:cs="Arial" w:eastAsia="Arial" w:hAnsi="Arial"/>
                <w:sz w:val="14"/>
                <w:szCs w:val="14"/>
                <w:color w:val="auto"/>
              </w:rPr>
              <w:t>(Estimated yield 16.12%, maturity January 22, 2027)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40" w:type="dxa"/>
            <w:vAlign w:val="bottom"/>
          </w:tcPr>
          <w:p>
            <w:pPr>
              <w:spacing w:after="0"/>
              <w:rPr>
                <w:sz w:val="20"/>
                <w:szCs w:val="20"/>
                <w:color w:val="auto"/>
              </w:rPr>
            </w:pPr>
            <w:r>
              <w:rPr>
                <w:rFonts w:ascii="Arial" w:cs="Arial" w:eastAsia="Arial" w:hAnsi="Arial"/>
                <w:sz w:val="14"/>
                <w:szCs w:val="14"/>
                <w:color w:val="auto"/>
                <w:w w:val="94"/>
              </w:rPr>
              <w:t>Other CLO equity related investments</w:t>
            </w:r>
          </w:p>
        </w:tc>
        <w:tc>
          <w:tcPr>
            <w:tcW w:w="1420" w:type="dxa"/>
            <w:vAlign w:val="bottom"/>
          </w:tcPr>
          <w:p>
            <w:pPr>
              <w:ind w:left="80"/>
              <w:spacing w:after="0"/>
              <w:rPr>
                <w:sz w:val="20"/>
                <w:szCs w:val="20"/>
                <w:color w:val="auto"/>
              </w:rPr>
            </w:pPr>
            <w:r>
              <w:rPr>
                <w:rFonts w:ascii="Arial" w:cs="Arial" w:eastAsia="Arial" w:hAnsi="Arial"/>
                <w:sz w:val="14"/>
                <w:szCs w:val="14"/>
                <w:color w:val="auto"/>
              </w:rPr>
              <w:t>structured finance</w:t>
            </w:r>
          </w:p>
        </w:tc>
        <w:tc>
          <w:tcPr>
            <w:tcW w:w="3460" w:type="dxa"/>
            <w:vAlign w:val="bottom"/>
            <w:gridSpan w:val="2"/>
          </w:tcPr>
          <w:p>
            <w:pPr>
              <w:ind w:left="100"/>
              <w:spacing w:after="0" w:line="189" w:lineRule="exact"/>
              <w:rPr>
                <w:sz w:val="20"/>
                <w:szCs w:val="20"/>
                <w:color w:val="auto"/>
              </w:rPr>
            </w:pPr>
            <w:r>
              <w:rPr>
                <w:rFonts w:ascii="Arial" w:cs="Arial" w:eastAsia="Arial" w:hAnsi="Arial"/>
                <w:sz w:val="13"/>
                <w:szCs w:val="13"/>
                <w:color w:val="auto"/>
              </w:rPr>
              <w:t>CLO other</w:t>
            </w:r>
            <w:r>
              <w:rPr>
                <w:rFonts w:ascii="Arial" w:cs="Arial" w:eastAsia="Arial" w:hAnsi="Arial"/>
                <w:sz w:val="21"/>
                <w:szCs w:val="21"/>
                <w:color w:val="auto"/>
                <w:vertAlign w:val="superscript"/>
              </w:rPr>
              <w:t>(7)</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4,117,543</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gridSpan w:val="2"/>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w w:val="95"/>
              </w:rPr>
              <w:t>Total Collateralized Loan Obligation - Equity Investments</w:t>
            </w:r>
          </w:p>
        </w:tc>
        <w:tc>
          <w:tcPr>
            <w:tcW w:w="38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378,915,667</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371,991,583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149.91</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Total Investments</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390,225,641</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383,202,155</w:t>
            </w:r>
          </w:p>
        </w:tc>
        <w:tc>
          <w:tcPr>
            <w:tcW w:w="100" w:type="dxa"/>
            <w:vAlign w:val="bottom"/>
          </w:tcPr>
          <w:p>
            <w:pPr>
              <w:spacing w:after="0"/>
              <w:rPr>
                <w:sz w:val="24"/>
                <w:szCs w:val="24"/>
                <w:color w:val="auto"/>
              </w:rPr>
            </w:pPr>
          </w:p>
        </w:tc>
        <w:tc>
          <w:tcPr>
            <w:tcW w:w="1020" w:type="dxa"/>
            <w:vAlign w:val="bottom"/>
            <w:gridSpan w:val="3"/>
          </w:tcPr>
          <w:p>
            <w:pPr>
              <w:jc w:val="right"/>
              <w:spacing w:after="0" w:line="243" w:lineRule="exact"/>
              <w:rPr>
                <w:sz w:val="20"/>
                <w:szCs w:val="20"/>
                <w:color w:val="auto"/>
              </w:rPr>
            </w:pPr>
            <w:r>
              <w:rPr>
                <w:rFonts w:ascii="Arial" w:cs="Arial" w:eastAsia="Arial" w:hAnsi="Arial"/>
                <w:sz w:val="14"/>
                <w:szCs w:val="14"/>
                <w:color w:val="auto"/>
              </w:rPr>
              <w:t>154.42</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4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30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LIABILITIES IN EXCESS OF OTHER ASSETS</w:t>
            </w:r>
          </w:p>
        </w:tc>
        <w:tc>
          <w:tcPr>
            <w:tcW w:w="3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(135,051,641)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NET ASSETS (equivalent to $13.88 per share based on 17,875,094 shares of common stock outstanding)</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248,150,514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436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spacing w:after="0" w:line="317" w:lineRule="exact"/>
        <w:rPr>
          <w:sz w:val="20"/>
          <w:szCs w:val="20"/>
          <w:color w:val="auto"/>
        </w:rPr>
      </w:pPr>
    </w:p>
    <w:p>
      <w:pPr>
        <w:ind w:left="340" w:right="140" w:hanging="332"/>
        <w:spacing w:after="0" w:line="25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investments,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is determined in good faith by the Board of Directors of the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Notes bear interest at variable rates.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 value reflects accretion of original issue discount or market discount, and amortization of premium.</w:t>
      </w:r>
    </w:p>
    <w:p>
      <w:pPr>
        <w:spacing w:after="0" w:line="9" w:lineRule="exact"/>
        <w:rPr>
          <w:rFonts w:ascii="Arial" w:cs="Arial" w:eastAsia="Arial" w:hAnsi="Arial"/>
          <w:sz w:val="18"/>
          <w:szCs w:val="18"/>
          <w:color w:val="auto"/>
        </w:rPr>
      </w:pPr>
    </w:p>
    <w:p>
      <w:pPr>
        <w:jc w:val="both"/>
        <w:ind w:left="340" w:right="1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secured notes generally bear interest at a rate determined by reference to three-month LIBOR which resets quarterly, and is determined on the business day preceding the current payment date for this investment. For each CLO debt investment, the rate provided is as of the most recent reset date prior to June 30, 2015.</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subordinated notes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represents discounted cash flows associated with fees earned from CLO equity investments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Investment has not made inaugural distribution for relevant period end. See "Note 3. Investment Income Recognition."</w:t>
      </w:r>
    </w:p>
    <w:p>
      <w:pPr>
        <w:spacing w:after="0" w:line="9" w:lineRule="exact"/>
        <w:rPr>
          <w:rFonts w:ascii="Arial" w:cs="Arial" w:eastAsia="Arial" w:hAnsi="Arial"/>
          <w:sz w:val="18"/>
          <w:szCs w:val="18"/>
          <w:color w:val="auto"/>
        </w:rPr>
      </w:pPr>
    </w:p>
    <w:p>
      <w:pPr>
        <w:ind w:left="340" w:right="30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subordinated notes represent an investment in a warehouse facility, which is a financing structure intended to aggregate loans that may be used to form the basis of a CLO vehicle.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JUNE 30, 2015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INVESTMENT VALUATION</w:t>
      </w:r>
    </w:p>
    <w:p>
      <w:pPr>
        <w:spacing w:after="0" w:line="229" w:lineRule="exact"/>
        <w:rPr>
          <w:sz w:val="20"/>
          <w:szCs w:val="20"/>
          <w:color w:val="auto"/>
        </w:rPr>
      </w:pPr>
    </w:p>
    <w:p>
      <w:pPr>
        <w:ind w:right="60" w:firstLine="270"/>
        <w:spacing w:after="0" w:line="276" w:lineRule="auto"/>
        <w:rPr>
          <w:sz w:val="20"/>
          <w:szCs w:val="20"/>
          <w:color w:val="auto"/>
        </w:rPr>
      </w:pPr>
      <w:r>
        <w:rPr>
          <w:rFonts w:ascii="Arial" w:cs="Arial" w:eastAsia="Arial" w:hAnsi="Arial"/>
          <w:sz w:val="17"/>
          <w:szCs w:val="17"/>
          <w:color w:val="auto"/>
        </w:rPr>
        <w:t xml:space="preserve">Oxford Lane Capital Corp. (“OXLC”, “we” or the “Fund”) fair values its investment portfolio in accordance with the provisions of ASC 820,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and Disclosure</w:t>
      </w:r>
      <w:r>
        <w:rPr>
          <w:rFonts w:ascii="Arial" w:cs="Arial" w:eastAsia="Arial" w:hAnsi="Arial"/>
          <w:sz w:val="17"/>
          <w:szCs w:val="17"/>
          <w:color w:val="auto"/>
        </w:rPr>
        <w:t>. An estimate made in the preparation of OXLC’s financial statements is the valuation of investments, as well as the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w:t>
      </w:r>
    </w:p>
    <w:p>
      <w:pPr>
        <w:spacing w:after="0" w:line="173" w:lineRule="exact"/>
        <w:rPr>
          <w:sz w:val="20"/>
          <w:szCs w:val="20"/>
          <w:color w:val="auto"/>
        </w:rPr>
      </w:pPr>
    </w:p>
    <w:p>
      <w:pPr>
        <w:ind w:right="20" w:firstLine="270"/>
        <w:spacing w:after="0" w:line="253" w:lineRule="auto"/>
        <w:rPr>
          <w:sz w:val="20"/>
          <w:szCs w:val="20"/>
          <w:color w:val="auto"/>
        </w:rPr>
      </w:pPr>
      <w:r>
        <w:rPr>
          <w:rFonts w:ascii="Arial" w:cs="Arial" w:eastAsia="Arial" w:hAnsi="Arial"/>
          <w:sz w:val="18"/>
          <w:szCs w:val="18"/>
          <w:color w:val="auto"/>
        </w:rPr>
        <w:t>ASC 820-10 clarified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 almost all of OXLC’s investments are based upon “Level 3” inputs as of June 30, 2015.</w:t>
      </w:r>
    </w:p>
    <w:p>
      <w:pPr>
        <w:spacing w:after="0" w:line="197"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The Fund may also invest directly in senior secured loans (either in the primary or secondary markets). In valuing such investments, Oxford Lane Management, LLC (“OXLC Management”) will prepare an analysis of each loan, including a financial summary, covenant compliance review, recent trading activity in the security, if known, and other business developments related to the portfolio company. Any available information, including non-binding indicative bids obtained from a recognized industry pricing service and agent banks which may not be considered reliable, will be presented to the OXLC Valuation Committee (the “Valuation Committee”) of the Board to consider in its determination of fair value. In some instances, there may be limited trading activity in a security even though the market for the security is considered not active. In such cases the Board will consider the number of trades, the size and timing of each trade and other circumstances around such trades, to the extent such information is available, in its determination of fair value. At June 30, 2015, the Fund did not have any direct investments in senior secured loans.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Collateralized Loan Obligations — Debt and Equity</w:t>
      </w:r>
    </w:p>
    <w:p>
      <w:pPr>
        <w:spacing w:after="0" w:line="229"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OXLC has acquired a number of debt and equity positions in CLO investment vehicles and more recently CLO warehouse investments. These investments are special purpose financing vehicles. In valuing such investments, OXLC considers the operating metrics of the specific investment vehicle, including compliance with collateralization tests, defaulted and restructured securities, and payment defaults, if any. In addition,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OXLC Management or the Valuation Committee may request an additional analysis by a third-party firm to assist in the valuation process of CLO investment vehicles. All information is presented to OXLC’s Board of Directors for its determination of fair value of these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Fund’s assets measured at fair value on a recurring basis subject to the disclosure requirements of ASC 820-10 at June 30, 2015, were as follows: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19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CLO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Significant Unobservable Inputs for Level 3 Investments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00" w:type="dxa"/>
            <w:vAlign w:val="bottom"/>
            <w:gridSpan w:val="11"/>
          </w:tcPr>
          <w:p>
            <w:pPr>
              <w:ind w:left="300"/>
              <w:spacing w:after="0"/>
              <w:rPr>
                <w:sz w:val="20"/>
                <w:szCs w:val="20"/>
                <w:color w:val="auto"/>
              </w:rPr>
            </w:pPr>
            <w:r>
              <w:rPr>
                <w:rFonts w:ascii="Arial" w:cs="Arial" w:eastAsia="Arial" w:hAnsi="Arial"/>
                <w:sz w:val="18"/>
                <w:szCs w:val="18"/>
                <w:b w:val="1"/>
                <w:bCs w:val="1"/>
                <w:color w:val="auto"/>
              </w:rPr>
              <w:t>Fair Value Measurements at Reporting Date Using</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540" w:type="dxa"/>
            <w:vAlign w:val="bottom"/>
            <w:tcBorders>
              <w:top w:val="single" w:sz="8" w:color="auto"/>
            </w:tcBorders>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5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2"/>
              </w:rPr>
              <w:t>Active Markets for</w:t>
            </w:r>
          </w:p>
        </w:tc>
        <w:tc>
          <w:tcPr>
            <w:tcW w:w="1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Other Observable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Identical 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(Level 3)</w:t>
            </w:r>
          </w:p>
        </w:tc>
        <w:tc>
          <w:tcPr>
            <w:tcW w:w="100" w:type="dxa"/>
            <w:vAlign w:val="bottom"/>
          </w:tcPr>
          <w:p>
            <w:pPr>
              <w:spacing w:after="0"/>
              <w:rPr>
                <w:sz w:val="20"/>
                <w:szCs w:val="20"/>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6"/>
              </w:rPr>
              <w:t>($ in millions)</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96"/>
              </w:rPr>
              <w:t>($ in millions)</w:t>
            </w:r>
          </w:p>
        </w:tc>
        <w:tc>
          <w:tcPr>
            <w:tcW w:w="20" w:type="dxa"/>
            <w:vAlign w:val="bottom"/>
          </w:tcPr>
          <w:p>
            <w:pPr>
              <w:spacing w:after="0"/>
              <w:rPr>
                <w:sz w:val="16"/>
                <w:szCs w:val="16"/>
                <w:color w:val="auto"/>
              </w:rPr>
            </w:pPr>
          </w:p>
        </w:tc>
      </w:tr>
      <w:tr>
        <w:trPr>
          <w:trHeight w:val="230"/>
        </w:trPr>
        <w:tc>
          <w:tcPr>
            <w:tcW w:w="38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r>
      <w:tr>
        <w:trPr>
          <w:trHeight w:val="44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372.0</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r>
      <w:tr>
        <w:trPr>
          <w:trHeight w:val="453"/>
        </w:trPr>
        <w:tc>
          <w:tcPr>
            <w:tcW w:w="38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383.2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383.2</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-745490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-471170</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-179705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85" w:lineRule="exact"/>
        <w:rPr>
          <w:sz w:val="20"/>
          <w:szCs w:val="20"/>
          <w:color w:val="auto"/>
        </w:rPr>
      </w:pPr>
    </w:p>
    <w:p>
      <w:pPr>
        <w:sectPr>
          <w:pgSz w:w="11900" w:h="16838" w:orient="portrait"/>
          <w:cols w:equalWidth="0" w:num="2">
            <w:col w:w="4620" w:space="720"/>
            <w:col w:w="6080"/>
          </w:cols>
          <w:pgMar w:left="240" w:top="908" w:right="239" w:bottom="1440" w:gutter="0" w:footer="0" w:header="0"/>
          <w:type w:val="continuous"/>
        </w:sectPr>
      </w:pPr>
    </w:p>
    <w:p>
      <w:pPr>
        <w:spacing w:after="0" w:line="48" w:lineRule="exact"/>
        <w:rPr>
          <w:sz w:val="20"/>
          <w:szCs w:val="20"/>
          <w:color w:val="auto"/>
        </w:rPr>
      </w:pPr>
    </w:p>
    <w:p>
      <w:pPr>
        <w:ind w:right="160" w:firstLine="270"/>
        <w:spacing w:after="0" w:line="273" w:lineRule="auto"/>
        <w:rPr>
          <w:sz w:val="20"/>
          <w:szCs w:val="20"/>
          <w:color w:val="auto"/>
        </w:rPr>
      </w:pPr>
      <w:r>
        <w:rPr>
          <w:rFonts w:ascii="Arial" w:cs="Arial" w:eastAsia="Arial" w:hAnsi="Arial"/>
          <w:sz w:val="17"/>
          <w:szCs w:val="17"/>
          <w:color w:val="auto"/>
        </w:rPr>
        <w:t>In accordance with ASC 820-10, the following table provides quantitative information about the Fund’s Level 3 fair value measurements as of June 30, 2015. The Fund’s valuation policy, as described above, establishes parameters for the sources and types of valuation analysis, as well as the methodologies and inputs that the Fund uses in determining fair value. If the Valuation Committee or OXLC Management determines that additional techniques, sources or inputs are appropriate or necessary in a given situation, such additional work may be undertaken. The table, therefore, is not all-inclusive, but provides information on the significant Level 3 inputs that are pertinent to the Fund’s fair value measurements. The weighted average calculations in the table below are based on principal balances for all CLO debt and equity investments.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b w:val="1"/>
                <w:bCs w:val="1"/>
                <w:color w:val="auto"/>
              </w:rPr>
              <w:t>Quantitative Information about Level 3 Fair Value Measurements</w:t>
            </w:r>
          </w:p>
        </w:tc>
      </w:tr>
      <w:tr>
        <w:trPr>
          <w:trHeight w:val="340"/>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Valuation</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 as of June 30,</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Techniques /</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Range / Weighted</w:t>
            </w:r>
          </w:p>
        </w:tc>
      </w:tr>
      <w:tr>
        <w:trPr>
          <w:trHeight w:val="234"/>
        </w:trPr>
        <w:tc>
          <w:tcPr>
            <w:tcW w:w="3900" w:type="dxa"/>
            <w:vAlign w:val="bottom"/>
          </w:tcPr>
          <w:p>
            <w:pPr>
              <w:ind w:left="17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Methodologies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Unobservable Input</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0"/>
        </w:trPr>
        <w:tc>
          <w:tcPr>
            <w:tcW w:w="3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r>
      <w:tr>
        <w:trPr>
          <w:trHeight w:val="25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CLO debt</w:t>
            </w:r>
          </w:p>
        </w:tc>
        <w:tc>
          <w:tcPr>
            <w:tcW w:w="760" w:type="dxa"/>
            <w:vAlign w:val="bottom"/>
            <w:gridSpan w:val="2"/>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Market quotes</w:t>
            </w:r>
          </w:p>
        </w:tc>
        <w:tc>
          <w:tcPr>
            <w:tcW w:w="170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94"/>
              </w:rPr>
              <w:t>NBIB</w:t>
            </w:r>
            <w:r>
              <w:rPr>
                <w:rFonts w:ascii="Arial" w:cs="Arial" w:eastAsia="Arial" w:hAnsi="Arial"/>
                <w:sz w:val="29"/>
                <w:szCs w:val="29"/>
                <w:color w:val="auto"/>
                <w:w w:val="94"/>
                <w:vertAlign w:val="superscript"/>
              </w:rPr>
              <w:t>(1)</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81.9%-91.5% / 85.8%</w:t>
            </w:r>
          </w:p>
        </w:tc>
      </w:tr>
      <w:tr>
        <w:trPr>
          <w:trHeight w:val="257"/>
        </w:trPr>
        <w:tc>
          <w:tcPr>
            <w:tcW w:w="3900" w:type="dxa"/>
            <w:vAlign w:val="bottom"/>
          </w:tcPr>
          <w:p>
            <w:pPr>
              <w:spacing w:after="0"/>
              <w:rPr>
                <w:sz w:val="20"/>
                <w:szCs w:val="20"/>
                <w:color w:val="auto"/>
              </w:rPr>
            </w:pPr>
            <w:r>
              <w:rPr>
                <w:rFonts w:ascii="Arial" w:cs="Arial" w:eastAsia="Arial" w:hAnsi="Arial"/>
                <w:sz w:val="18"/>
                <w:szCs w:val="18"/>
                <w:color w:val="auto"/>
              </w:rPr>
              <w:t>CLO equity</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340.6</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Market quotes</w:t>
            </w:r>
          </w:p>
        </w:tc>
        <w:tc>
          <w:tcPr>
            <w:tcW w:w="170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94"/>
              </w:rPr>
              <w:t>NBIB</w:t>
            </w:r>
            <w:r>
              <w:rPr>
                <w:rFonts w:ascii="Arial" w:cs="Arial" w:eastAsia="Arial" w:hAnsi="Arial"/>
                <w:sz w:val="29"/>
                <w:szCs w:val="29"/>
                <w:color w:val="auto"/>
                <w:w w:val="94"/>
                <w:vertAlign w:val="superscript"/>
              </w:rPr>
              <w:t>(1)</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49.0%-94.0% / 78.3%</w:t>
            </w:r>
          </w:p>
        </w:tc>
      </w:tr>
      <w:tr>
        <w:trPr>
          <w:trHeight w:val="257"/>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Recent transactions</w:t>
            </w:r>
          </w:p>
        </w:tc>
        <w:tc>
          <w:tcPr>
            <w:tcW w:w="170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88"/>
              </w:rPr>
              <w:t>Actual trade</w:t>
            </w:r>
            <w:r>
              <w:rPr>
                <w:rFonts w:ascii="Arial" w:cs="Arial" w:eastAsia="Arial" w:hAnsi="Arial"/>
                <w:sz w:val="29"/>
                <w:szCs w:val="29"/>
                <w:color w:val="auto"/>
                <w:w w:val="88"/>
                <w:vertAlign w:val="superscript"/>
              </w:rPr>
              <w:t>(2)</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76.4%-100.0% / 84.3%</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CLO equity - fee notes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Discounted cash flow</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Discount rate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12.1%-12.5% / 12.2%</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CLO equity - other related investments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Discounted cash flow</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Discount rate</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12.0%-13.5% / 12.9%</w:t>
            </w:r>
          </w:p>
        </w:tc>
      </w:tr>
      <w:tr>
        <w:trPr>
          <w:trHeight w:val="149"/>
        </w:trPr>
        <w:tc>
          <w:tcPr>
            <w:tcW w:w="3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r>
      <w:tr>
        <w:trPr>
          <w:trHeight w:val="210"/>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Fair Value for Level 3 Investments</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2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Fund generally uses prices provided by an independent pricing service or broker or agent bank non-binding indicative bid prices (“NBIB”) on or near the valuation date as the primary basis for the fair value determinations for CLO debt and equity investments, which may be adjusted for pending equity distributions as of valuation date. These bid prices are non-binding, and may not be determinative of fair value. Each bid price is evaluated by the Valuation Committee in conjunction with additional information compiled by OXLC Management, including performance and covenant compliance information as provided by the independent trustee.</w:t>
      </w:r>
    </w:p>
    <w:p>
      <w:pPr>
        <w:spacing w:after="0" w:line="18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Prices provided by independent pricing service are evaluated in conjunction with actual trades, and in certain cases, the value represented by actual trades may be more representative of fair value as determined by the Valuation Committee.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Significant increases or decreases in any of the unobservable inputs in isolation may result in a significantly lower or higher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INCOME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Securitization Vehicles and Equity Investments</w:t>
      </w:r>
    </w:p>
    <w:p>
      <w:pPr>
        <w:spacing w:after="0" w:line="225"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 xml:space="preserve">Income from investments in the equity class securities of CLO vehicles (typically income notes or subordinated notes) is recorded using the effective interest method in accordance with the provisions of ASC 325-40, </w:t>
      </w:r>
      <w:r>
        <w:rPr>
          <w:rFonts w:ascii="Arial" w:cs="Arial" w:eastAsia="Arial" w:hAnsi="Arial"/>
          <w:sz w:val="18"/>
          <w:szCs w:val="18"/>
          <w:i w:val="1"/>
          <w:iCs w:val="1"/>
          <w:color w:val="auto"/>
        </w:rPr>
        <w:t>Beneficial Interests in Securitized Financial Assets</w:t>
      </w:r>
      <w:r>
        <w:rPr>
          <w:rFonts w:ascii="Arial" w:cs="Arial" w:eastAsia="Arial" w:hAnsi="Arial"/>
          <w:sz w:val="18"/>
          <w:szCs w:val="18"/>
          <w:color w:val="auto"/>
        </w:rPr>
        <w:t>, based upon an estimation of an effective yield to maturity utilizing assumed cash flows, including those CLO equity investments that have not made their inaugural distribution for the relevant period end. The Fund monitors the expected residual payments, and effective yield is determined and updated quarterly, as needed. Accordingly, investment income recognized on CLO equity securities in the GAAP statement of operations differs from both the tax-basis investment income and from the cash distributions actually received by the Fund during the period.</w:t>
      </w:r>
    </w:p>
    <w:p>
      <w:pPr>
        <w:spacing w:after="0" w:line="193"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The Fund also records income on its investments in CLO warehouse facilities based on a stated rate as per the underlying note purchase agreement or an estimated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Interest income is recorded on an accrual basis using the contractual rate applicable to each debt investment and includes the accretion of discounts and amortization of premiums. Discounts from and premiums to par value on securities purchased are accreted/amortized into interest income over the life of the respective security using the effective yield method. The amortized cost of investments represents the original cost adjusted for the accretion of discounts and amortization of premiums, if any.</w:t>
      </w:r>
    </w:p>
    <w:p>
      <w:pPr>
        <w:spacing w:after="0" w:line="187" w:lineRule="exact"/>
        <w:rPr>
          <w:sz w:val="20"/>
          <w:szCs w:val="20"/>
          <w:color w:val="auto"/>
        </w:rPr>
      </w:pPr>
    </w:p>
    <w:p>
      <w:pPr>
        <w:ind w:right="100" w:firstLine="450"/>
        <w:spacing w:after="0" w:line="276" w:lineRule="auto"/>
        <w:rPr>
          <w:sz w:val="20"/>
          <w:szCs w:val="20"/>
          <w:color w:val="auto"/>
        </w:rPr>
      </w:pPr>
      <w:r>
        <w:rPr>
          <w:rFonts w:ascii="Arial" w:cs="Arial" w:eastAsia="Arial" w:hAnsi="Arial"/>
          <w:sz w:val="17"/>
          <w:szCs w:val="17"/>
          <w:color w:val="auto"/>
        </w:rPr>
        <w:t>Generally, when interest and/or principal payments on a loan become past due, or if the Fund otherwise does not expect the borrower to be able to service its debt and other obligations, the Fund will place the loan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judgement, are likely to remain current. As of June 30, 2015, the Fund had no non-accrual assets held in its portfolio.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U.S. FEDERAL INCOME TAXES</w:t>
      </w:r>
    </w:p>
    <w:p>
      <w:pPr>
        <w:spacing w:after="0" w:line="229"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The Fund intends to operate so as to qualify to be taxed as a RIC under Subchapter M of the U.S. Tax Code (the “Code”) and, as such, to not be subject to U.S. federal income tax on the portion of its taxable income and gains distributed to stockholders. To qualify for RIC tax treatment, OXLC is required to distribute at least 90% of its investment company taxable income, as defined by the Code.</w:t>
      </w:r>
    </w:p>
    <w:p>
      <w:pPr>
        <w:spacing w:after="0" w:line="181"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Because U.S. federal income tax regulations differ from accounting principles generally accepted in the United States,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 to reflect their tax character. Temporary differences arise when certain items of income, expense, gain or loss are recognized at some time in the future.</w:t>
      </w:r>
    </w:p>
    <w:p>
      <w:pPr>
        <w:spacing w:after="0" w:line="171" w:lineRule="exact"/>
        <w:rPr>
          <w:sz w:val="20"/>
          <w:szCs w:val="20"/>
          <w:color w:val="auto"/>
        </w:rPr>
      </w:pPr>
    </w:p>
    <w:p>
      <w:pPr>
        <w:ind w:right="380" w:firstLine="270"/>
        <w:spacing w:after="0" w:line="264" w:lineRule="auto"/>
        <w:rPr>
          <w:sz w:val="20"/>
          <w:szCs w:val="20"/>
          <w:color w:val="auto"/>
        </w:rPr>
      </w:pPr>
      <w:r>
        <w:rPr>
          <w:rFonts w:ascii="Arial" w:cs="Arial" w:eastAsia="Arial" w:hAnsi="Arial"/>
          <w:sz w:val="18"/>
          <w:szCs w:val="18"/>
          <w:color w:val="auto"/>
        </w:rPr>
        <w:t>Differences in classification may also result from the treatment of short-term gains as ordinary income for tax purposes. Our dividend policy is based upon our estimate of our taxable net investment income, which includes actual distributions from our CLO equity class investments, with further consideration given to our realized gains or losses on a taxable basis.</w:t>
      </w:r>
    </w:p>
    <w:p>
      <w:pPr>
        <w:spacing w:after="0" w:line="181"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On December 22, 2010, the Regulated Investment Company Modernization Act of 2010 (the “Act”) was enacted which engaged various technical rules governing the tax treatment of regulated investment companies. The changes are generally effective for taxable years beginning after the date of enactment. Under the Act, the Fund will be permitted to carry forward capital losses incurred in taxable years beginning after the date of enactment for an unlimited period. However, any losses incurred during those future taxable years will be required to be utilized prior to the losses incurred in the pre-enactment taxable years, which carry an expiration date. As a result of this ordering rule, pre-enactment capital loss carryforwards may be more likely to expire unused. Additionally, post-enactment capital losses that are carried forward will retain their character as either short-term or long-term losses rather than being considered all short-term as under previous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8560" w:type="dxa"/>
            <w:vAlign w:val="bottom"/>
          </w:tcPr>
          <w:p>
            <w:pPr>
              <w:jc w:val="center"/>
              <w:ind w:left="2230"/>
              <w:spacing w:after="0"/>
              <w:rPr>
                <w:sz w:val="20"/>
                <w:szCs w:val="20"/>
                <w:color w:val="auto"/>
              </w:rPr>
            </w:pPr>
            <w:r>
              <w:rPr>
                <w:rFonts w:ascii="Arial" w:cs="Arial" w:eastAsia="Arial" w:hAnsi="Arial"/>
                <w:sz w:val="18"/>
                <w:szCs w:val="18"/>
                <w:color w:val="auto"/>
                <w:w w:val="95"/>
              </w:rPr>
              <w:t>OXFORD LANE CAPITAL CORP.</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560" w:type="dxa"/>
            <w:vAlign w:val="bottom"/>
          </w:tcPr>
          <w:p>
            <w:pPr>
              <w:jc w:val="center"/>
              <w:ind w:left="2210"/>
              <w:spacing w:after="0"/>
              <w:rPr>
                <w:sz w:val="20"/>
                <w:szCs w:val="20"/>
                <w:color w:val="auto"/>
              </w:rPr>
            </w:pPr>
            <w:r>
              <w:rPr>
                <w:rFonts w:ascii="Arial" w:cs="Arial" w:eastAsia="Arial" w:hAnsi="Arial"/>
                <w:sz w:val="18"/>
                <w:szCs w:val="18"/>
                <w:color w:val="auto"/>
                <w:w w:val="96"/>
              </w:rPr>
              <w:t>NOTES TO FINANCIAL STATEMENTS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560" w:type="dxa"/>
            <w:vAlign w:val="bottom"/>
          </w:tcPr>
          <w:p>
            <w:pPr>
              <w:jc w:val="center"/>
              <w:ind w:left="2230"/>
              <w:spacing w:after="0"/>
              <w:rPr>
                <w:sz w:val="20"/>
                <w:szCs w:val="20"/>
                <w:color w:val="auto"/>
              </w:rPr>
            </w:pPr>
            <w:r>
              <w:rPr>
                <w:rFonts w:ascii="Arial" w:cs="Arial" w:eastAsia="Arial" w:hAnsi="Arial"/>
                <w:sz w:val="18"/>
                <w:szCs w:val="18"/>
                <w:color w:val="auto"/>
                <w:w w:val="91"/>
              </w:rPr>
              <w:t>JUNE 30, 2015</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560" w:type="dxa"/>
            <w:vAlign w:val="bottom"/>
          </w:tcPr>
          <w:p>
            <w:pPr>
              <w:jc w:val="center"/>
              <w:ind w:left="2210"/>
              <w:spacing w:after="0"/>
              <w:rPr>
                <w:sz w:val="20"/>
                <w:szCs w:val="20"/>
                <w:color w:val="auto"/>
              </w:rPr>
            </w:pPr>
            <w:r>
              <w:rPr>
                <w:rFonts w:ascii="Arial" w:cs="Arial" w:eastAsia="Arial" w:hAnsi="Arial"/>
                <w:sz w:val="18"/>
                <w:szCs w:val="18"/>
                <w:color w:val="auto"/>
                <w:w w:val="90"/>
              </w:rPr>
              <w:t>(unaudited)</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NOTE 4. U.S. FEDERAL INCOME TAXES – (continued)</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8560" w:type="dxa"/>
            <w:vAlign w:val="bottom"/>
          </w:tcPr>
          <w:p>
            <w:pPr>
              <w:ind w:left="60"/>
              <w:spacing w:after="0"/>
              <w:rPr>
                <w:sz w:val="20"/>
                <w:szCs w:val="20"/>
                <w:color w:val="auto"/>
              </w:rPr>
            </w:pPr>
            <w:r>
              <w:rPr>
                <w:rFonts w:ascii="Arial" w:cs="Arial" w:eastAsia="Arial" w:hAnsi="Arial"/>
                <w:sz w:val="18"/>
                <w:szCs w:val="18"/>
                <w:color w:val="auto"/>
              </w:rPr>
              <w:t>As of June 30, 2014, the cost and net unrealized depreciation of securities on a tax basis were as follows:</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Cost for federal income tax purposes</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417,368,168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Gross unrealized appreciation</w:t>
            </w:r>
          </w:p>
        </w:tc>
        <w:tc>
          <w:tcPr>
            <w:tcW w:w="9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0" w:type="dxa"/>
            <w:vAlign w:val="bottom"/>
          </w:tcPr>
          <w:p>
            <w:pPr>
              <w:spacing w:after="0"/>
              <w:rPr>
                <w:sz w:val="17"/>
                <w:szCs w:val="17"/>
                <w:color w:val="auto"/>
              </w:rPr>
            </w:pPr>
          </w:p>
        </w:tc>
        <w:tc>
          <w:tcPr>
            <w:tcW w:w="85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8,377,224</w:t>
            </w:r>
          </w:p>
        </w:tc>
        <w:tc>
          <w:tcPr>
            <w:tcW w:w="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Gross unrealized depreciation</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(42,543,237)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depreciation</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(34,166,013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8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2. Controls and Procedures.</w:t>
      </w:r>
    </w:p>
    <w:p>
      <w:pPr>
        <w:spacing w:after="0" w:line="229" w:lineRule="exact"/>
        <w:rPr>
          <w:sz w:val="20"/>
          <w:szCs w:val="20"/>
          <w:color w:val="auto"/>
        </w:rPr>
      </w:pPr>
    </w:p>
    <w:p>
      <w:pPr>
        <w:ind w:firstLine="278"/>
        <w:spacing w:after="0" w:line="293" w:lineRule="auto"/>
        <w:tabs>
          <w:tab w:leader="none" w:pos="695"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an evaluation of the Disclosure Controls and Procedures (as defined in Rule 30a-3(c) under the Investment Company Act of 1940, the “Disclosure Controls”) as of a date within 90 days prior to the filing date (the “Filing Date”) of this Form N-Q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64" w:lineRule="exact"/>
        <w:rPr>
          <w:rFonts w:ascii="Arial" w:cs="Arial" w:eastAsia="Arial" w:hAnsi="Arial"/>
          <w:sz w:val="16"/>
          <w:szCs w:val="16"/>
          <w:color w:val="auto"/>
        </w:rPr>
      </w:pPr>
    </w:p>
    <w:p>
      <w:pPr>
        <w:ind w:right="80" w:firstLine="278"/>
        <w:spacing w:after="0" w:line="264" w:lineRule="auto"/>
        <w:tabs>
          <w:tab w:leader="none" w:pos="70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were no changes in the Registrant’s internal control over financial reporting (as defined in Rule 30a-3(d) under the Investment Company Act of 1940) that occurred during the Registrant’s last fiscal quarter that have materially affected or are reasonably likely to materially affect the Registrant’s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Certifications of principal executive officer and principal financial officer as required by Rule 30a-2(a)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and the Investment Company Act of 1940,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OXFORD LANE CAPITAL CORP.</w:t>
      </w:r>
    </w:p>
    <w:p>
      <w:pPr>
        <w:spacing w:after="0" w:line="229"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By:</w:t>
        <w:tab/>
        <w:t>/s/ Jonathan H. Cohen</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-130810</wp:posOffset>
            </wp:positionV>
            <wp:extent cx="3027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Date: August 18, 2015</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and the Investment Company Act of 1940,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3"/>
          </w:tcPr>
          <w:p>
            <w:pPr>
              <w:ind w:left="280"/>
              <w:spacing w:after="0"/>
              <w:rPr>
                <w:sz w:val="20"/>
                <w:szCs w:val="20"/>
                <w:color w:val="auto"/>
              </w:rPr>
            </w:pPr>
            <w:r>
              <w:rPr>
                <w:rFonts w:ascii="Arial" w:cs="Arial" w:eastAsia="Arial" w:hAnsi="Arial"/>
                <w:sz w:val="18"/>
                <w:szCs w:val="18"/>
                <w:color w:val="auto"/>
              </w:rPr>
              <w:t>By:  /s/ Jonathan H. Cohen</w:t>
            </w:r>
          </w:p>
        </w:tc>
        <w:tc>
          <w:tcPr>
            <w:tcW w:w="5600" w:type="dxa"/>
            <w:vAlign w:val="bottom"/>
            <w:gridSpan w:val="3"/>
          </w:tcPr>
          <w:p>
            <w:pPr>
              <w:ind w:left="420"/>
              <w:spacing w:after="0"/>
              <w:rPr>
                <w:sz w:val="20"/>
                <w:szCs w:val="20"/>
                <w:color w:val="auto"/>
              </w:rPr>
            </w:pPr>
            <w:r>
              <w:rPr>
                <w:rFonts w:ascii="Arial" w:cs="Arial" w:eastAsia="Arial" w:hAnsi="Arial"/>
                <w:sz w:val="18"/>
                <w:szCs w:val="18"/>
                <w:color w:val="auto"/>
              </w:rPr>
              <w:t>By:   /s/ Bruce L. Rubin</w:t>
            </w:r>
          </w:p>
        </w:tc>
        <w:tc>
          <w:tcPr>
            <w:tcW w:w="320" w:type="dxa"/>
            <w:vAlign w:val="bottom"/>
          </w:tcPr>
          <w:p>
            <w:pPr>
              <w:spacing w:after="0"/>
              <w:rPr>
                <w:sz w:val="20"/>
                <w:szCs w:val="20"/>
                <w:color w:val="auto"/>
              </w:rPr>
            </w:pPr>
          </w:p>
        </w:tc>
      </w:tr>
      <w:tr>
        <w:trPr>
          <w:trHeight w:val="195"/>
        </w:trPr>
        <w:tc>
          <w:tcPr>
            <w:tcW w:w="7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Jonathan H. Cohen</w:t>
            </w:r>
          </w:p>
        </w:tc>
        <w:tc>
          <w:tcPr>
            <w:tcW w:w="86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1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Bruce L. Rubin</w:t>
            </w:r>
          </w:p>
        </w:tc>
        <w:tc>
          <w:tcPr>
            <w:tcW w:w="320" w:type="dxa"/>
            <w:vAlign w:val="bottom"/>
          </w:tcPr>
          <w:p>
            <w:pPr>
              <w:spacing w:after="0"/>
              <w:rPr>
                <w:sz w:val="16"/>
                <w:szCs w:val="16"/>
                <w:color w:val="auto"/>
              </w:rPr>
            </w:pPr>
          </w:p>
        </w:tc>
      </w:tr>
      <w:tr>
        <w:trPr>
          <w:trHeight w:val="216"/>
        </w:trPr>
        <w:tc>
          <w:tcPr>
            <w:tcW w:w="1300" w:type="dxa"/>
            <w:vAlign w:val="bottom"/>
            <w:gridSpan w:val="2"/>
          </w:tcPr>
          <w:p>
            <w:pPr>
              <w:ind w:left="720"/>
              <w:spacing w:after="0"/>
              <w:rPr>
                <w:sz w:val="20"/>
                <w:szCs w:val="20"/>
                <w:color w:val="auto"/>
              </w:rPr>
            </w:pPr>
            <w:r>
              <w:rPr>
                <w:rFonts w:ascii="Arial" w:cs="Arial" w:eastAsia="Arial" w:hAnsi="Arial"/>
                <w:sz w:val="18"/>
                <w:szCs w:val="18"/>
                <w:color w:val="auto"/>
              </w:rPr>
              <w:t>Title:</w:t>
            </w:r>
          </w:p>
        </w:tc>
        <w:tc>
          <w:tcPr>
            <w:tcW w:w="4200" w:type="dxa"/>
            <w:vAlign w:val="bottom"/>
          </w:tcPr>
          <w:p>
            <w:pPr>
              <w:ind w:left="80"/>
              <w:spacing w:after="0"/>
              <w:rPr>
                <w:sz w:val="20"/>
                <w:szCs w:val="20"/>
                <w:color w:val="auto"/>
              </w:rPr>
            </w:pPr>
            <w:r>
              <w:rPr>
                <w:rFonts w:ascii="Arial" w:cs="Arial" w:eastAsia="Arial" w:hAnsi="Arial"/>
                <w:sz w:val="18"/>
                <w:szCs w:val="18"/>
                <w:color w:val="auto"/>
              </w:rPr>
              <w:t>Chief Executive Officer</w:t>
            </w:r>
          </w:p>
        </w:tc>
        <w:tc>
          <w:tcPr>
            <w:tcW w:w="1420" w:type="dxa"/>
            <w:vAlign w:val="bottom"/>
            <w:gridSpan w:val="2"/>
          </w:tcPr>
          <w:p>
            <w:pPr>
              <w:ind w:left="860"/>
              <w:spacing w:after="0"/>
              <w:rPr>
                <w:sz w:val="20"/>
                <w:szCs w:val="20"/>
                <w:color w:val="auto"/>
              </w:rPr>
            </w:pPr>
            <w:r>
              <w:rPr>
                <w:rFonts w:ascii="Arial" w:cs="Arial" w:eastAsia="Arial" w:hAnsi="Arial"/>
                <w:sz w:val="18"/>
                <w:szCs w:val="18"/>
                <w:color w:val="auto"/>
              </w:rPr>
              <w:t>Title:</w:t>
            </w:r>
          </w:p>
        </w:tc>
        <w:tc>
          <w:tcPr>
            <w:tcW w:w="4180" w:type="dxa"/>
            <w:vAlign w:val="bottom"/>
          </w:tcPr>
          <w:p>
            <w:pPr>
              <w:ind w:left="80"/>
              <w:spacing w:after="0"/>
              <w:rPr>
                <w:sz w:val="20"/>
                <w:szCs w:val="20"/>
                <w:color w:val="auto"/>
              </w:rPr>
            </w:pPr>
            <w:r>
              <w:rPr>
                <w:rFonts w:ascii="Arial" w:cs="Arial" w:eastAsia="Arial" w:hAnsi="Arial"/>
                <w:sz w:val="18"/>
                <w:szCs w:val="18"/>
                <w:color w:val="auto"/>
              </w:rPr>
              <w:t>Chief Financial Officer</w:t>
            </w:r>
          </w:p>
        </w:tc>
        <w:tc>
          <w:tcPr>
            <w:tcW w:w="3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(Principal Financial Officer)</w:t>
            </w:r>
          </w:p>
        </w:tc>
        <w:tc>
          <w:tcPr>
            <w:tcW w:w="320" w:type="dxa"/>
            <w:vAlign w:val="bottom"/>
          </w:tcPr>
          <w:p>
            <w:pPr>
              <w:spacing w:after="0"/>
              <w:rPr>
                <w:sz w:val="20"/>
                <w:szCs w:val="20"/>
                <w:color w:val="auto"/>
              </w:rPr>
            </w:pPr>
          </w:p>
        </w:tc>
      </w:tr>
      <w:tr>
        <w:trPr>
          <w:trHeight w:val="432"/>
        </w:trPr>
        <w:tc>
          <w:tcPr>
            <w:tcW w:w="1300" w:type="dxa"/>
            <w:vAlign w:val="bottom"/>
            <w:gridSpan w:val="2"/>
          </w:tcPr>
          <w:p>
            <w:pPr>
              <w:ind w:left="720"/>
              <w:spacing w:after="0"/>
              <w:rPr>
                <w:sz w:val="20"/>
                <w:szCs w:val="20"/>
                <w:color w:val="auto"/>
              </w:rPr>
            </w:pPr>
            <w:r>
              <w:rPr>
                <w:rFonts w:ascii="Arial" w:cs="Arial" w:eastAsia="Arial" w:hAnsi="Arial"/>
                <w:sz w:val="18"/>
                <w:szCs w:val="18"/>
                <w:color w:val="auto"/>
              </w:rPr>
              <w:t>Date:</w:t>
            </w:r>
          </w:p>
        </w:tc>
        <w:tc>
          <w:tcPr>
            <w:tcW w:w="4200" w:type="dxa"/>
            <w:vAlign w:val="bottom"/>
          </w:tcPr>
          <w:p>
            <w:pPr>
              <w:ind w:left="80"/>
              <w:spacing w:after="0"/>
              <w:rPr>
                <w:sz w:val="20"/>
                <w:szCs w:val="20"/>
                <w:color w:val="auto"/>
              </w:rPr>
            </w:pPr>
            <w:r>
              <w:rPr>
                <w:rFonts w:ascii="Arial" w:cs="Arial" w:eastAsia="Arial" w:hAnsi="Arial"/>
                <w:sz w:val="18"/>
                <w:szCs w:val="18"/>
                <w:color w:val="auto"/>
              </w:rPr>
              <w:t>August 18, 2015</w:t>
            </w:r>
          </w:p>
        </w:tc>
        <w:tc>
          <w:tcPr>
            <w:tcW w:w="1420" w:type="dxa"/>
            <w:vAlign w:val="bottom"/>
            <w:gridSpan w:val="2"/>
          </w:tcPr>
          <w:p>
            <w:pPr>
              <w:ind w:left="860"/>
              <w:spacing w:after="0"/>
              <w:rPr>
                <w:sz w:val="20"/>
                <w:szCs w:val="20"/>
                <w:color w:val="auto"/>
              </w:rPr>
            </w:pPr>
            <w:r>
              <w:rPr>
                <w:rFonts w:ascii="Arial" w:cs="Arial" w:eastAsia="Arial" w:hAnsi="Arial"/>
                <w:sz w:val="18"/>
                <w:szCs w:val="18"/>
                <w:color w:val="auto"/>
              </w:rPr>
              <w:t>Date:</w:t>
            </w:r>
          </w:p>
        </w:tc>
        <w:tc>
          <w:tcPr>
            <w:tcW w:w="4180" w:type="dxa"/>
            <w:vAlign w:val="bottom"/>
          </w:tcPr>
          <w:p>
            <w:pPr>
              <w:ind w:left="80"/>
              <w:spacing w:after="0"/>
              <w:rPr>
                <w:sz w:val="20"/>
                <w:szCs w:val="20"/>
                <w:color w:val="auto"/>
              </w:rPr>
            </w:pPr>
            <w:r>
              <w:rPr>
                <w:rFonts w:ascii="Arial" w:cs="Arial" w:eastAsia="Arial" w:hAnsi="Arial"/>
                <w:sz w:val="18"/>
                <w:szCs w:val="18"/>
                <w:color w:val="auto"/>
              </w:rPr>
              <w:t>August 18, 2015</w:t>
            </w:r>
          </w:p>
        </w:tc>
        <w:tc>
          <w:tcPr>
            <w:tcW w:w="320" w:type="dxa"/>
            <w:vAlign w:val="bottom"/>
          </w:tcPr>
          <w:p>
            <w:pPr>
              <w:spacing w:after="0"/>
              <w:rPr>
                <w:sz w:val="24"/>
                <w:szCs w:val="24"/>
                <w:color w:val="auto"/>
              </w:rPr>
            </w:pPr>
          </w:p>
        </w:tc>
      </w:tr>
      <w:tr>
        <w:trPr>
          <w:trHeight w:val="675"/>
        </w:trPr>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99.Cert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12(a)(2)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H. Cohen, Chief Executive Officer of Oxford Lane Capital Corp., certify that:</w:t>
      </w:r>
    </w:p>
    <w:p>
      <w:pPr>
        <w:spacing w:after="0" w:line="225"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60" w:hanging="655"/>
        <w:spacing w:after="0" w:line="264"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jc w:val="both"/>
        <w:ind w:left="1960" w:right="180" w:hanging="655"/>
        <w:spacing w:after="0" w:line="264"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18th day of August,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Exhibit 12(a)(2)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Bruce L. Rubin, Chief Financial Officer of Oxford Lane Capital Corp., certify that:</w:t>
      </w:r>
    </w:p>
    <w:p>
      <w:pPr>
        <w:spacing w:after="0" w:line="225"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ind w:left="1300" w:right="10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ind w:left="1960" w:right="60" w:hanging="655"/>
        <w:spacing w:after="0" w:line="286" w:lineRule="auto"/>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420" w:hanging="655"/>
        <w:spacing w:after="0" w:line="286" w:lineRule="auto"/>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jc w:val="both"/>
        <w:ind w:left="1960" w:right="160" w:hanging="655"/>
        <w:spacing w:after="0" w:line="264"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960" w:right="20" w:hanging="655"/>
        <w:spacing w:after="0" w:line="342" w:lineRule="auto"/>
        <w:tabs>
          <w:tab w:leader="none" w:pos="1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300" w:hanging="655"/>
        <w:spacing w:after="0" w:line="277"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18th day of August,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Exhibit 99.906CERT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12(b)</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Rule 30a-2(b) Certification</w:t>
      </w:r>
    </w:p>
    <w:p>
      <w:pPr>
        <w:spacing w:after="0" w:line="21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connection with the Report on Form N-Q for the quarter ended June 30, 2015 (the “Report”) of Oxford Lane Capital Corp. (the “Registrant”), as filed with the Securities and Exchange Commission on the date hereof, I, Jonathan H. Cohen, the Chief Executive Officer of the Registrant,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980" w:right="6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3" w:name="page14"/>
    <w:bookmarkEnd w:id="13"/>
    <w:p>
      <w:pPr>
        <w:jc w:val="center"/>
        <w:ind w:right="-139"/>
        <w:spacing w:after="0"/>
        <w:rPr>
          <w:sz w:val="20"/>
          <w:szCs w:val="20"/>
          <w:color w:val="auto"/>
        </w:rPr>
      </w:pPr>
      <w:r>
        <w:rPr>
          <w:rFonts w:ascii="Arial" w:cs="Arial" w:eastAsia="Arial" w:hAnsi="Arial"/>
          <w:sz w:val="18"/>
          <w:szCs w:val="18"/>
          <w:b w:val="1"/>
          <w:bCs w:val="1"/>
          <w:color w:val="auto"/>
        </w:rPr>
        <w:t>Exhibit 12(b)</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Rule 30a-2(b) Certification</w:t>
      </w:r>
    </w:p>
    <w:p>
      <w:pPr>
        <w:spacing w:after="0" w:line="21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connection with the Report on Form N-Q for the quarter ended June 30, 2015 (the “Report”) of Oxford Lane Capital Corp. (the “Registrant”), as filed with the Securities and Exchange Commission on the date hereof, I, Bruce L. Rubin, the Chief Financial Officer of the Registrant,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980" w:right="64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80"/>
      </w:cols>
      <w:pgMar w:left="24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2020-01-24T07:24:05Z</dcterms:created>
  <dcterms:modified xsi:type="dcterms:W3CDTF">2020-01-24T07:24:05Z</dcterms:modified>
</cp:coreProperties>
</file>