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001-35041</w:t>
        </w:r>
      </w:hyperlink>
    </w:p>
    <w:p>
      <w:pPr>
        <w:spacing w:after="0" w:line="136" w:lineRule="exact"/>
        <w:rPr>
          <w:sz w:val="24"/>
          <w:szCs w:val="24"/>
          <w:color w:val="auto"/>
        </w:rPr>
      </w:pPr>
    </w:p>
    <w:p>
      <w:pPr>
        <w:ind w:left="3400"/>
        <w:spacing w:after="0"/>
        <w:tabs>
          <w:tab w:leader="none" w:pos="42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Oxford Lane Capital Corp.</w:t>
        </w:r>
      </w:hyperlink>
    </w:p>
    <w:p>
      <w:pPr>
        <w:spacing w:after="0" w:line="57"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00"/>
        <w:spacing w:after="0"/>
        <w:tabs>
          <w:tab w:leader="none" w:pos="39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8 Sound Shore Drive</w:t>
      </w:r>
    </w:p>
    <w:p>
      <w:pPr>
        <w:spacing w:after="0" w:line="6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0000FF"/>
        </w:rPr>
        <w:t>Suite 255</w:t>
      </w:r>
    </w:p>
    <w:p>
      <w:pPr>
        <w:spacing w:after="0" w:line="6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0000FF"/>
        </w:rPr>
        <w:t>Greenwich CONNECTICUT 06830</w:t>
      </w:r>
    </w:p>
    <w:p>
      <w:pPr>
        <w:spacing w:after="0" w:line="63" w:lineRule="exact"/>
        <w:rPr>
          <w:sz w:val="24"/>
          <w:szCs w:val="24"/>
          <w:color w:val="auto"/>
        </w:rPr>
      </w:pPr>
    </w:p>
    <w:p>
      <w:pPr>
        <w:ind w:left="2400"/>
        <w:spacing w:after="0"/>
        <w:tabs>
          <w:tab w:leader="none" w:pos="660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203-983-5275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6.25% Series 2027 Term Preferred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2026-05-29</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oxlcp-form25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5041" TargetMode="External"/><Relationship Id="rId11" Type="http://schemas.openxmlformats.org/officeDocument/2006/relationships/hyperlink" Target="http://www.sec.gov/cgi-bin/browse-edgar?action=getcompany&amp;CIK=0001495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2026-05-29T16:56:42Z</dcterms:created>
  <dcterms:modified xsi:type="dcterms:W3CDTF">2026-05-29T16:56:42Z</dcterms:modified>
</cp:coreProperties>
</file>